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D2" w:rsidRPr="00E82103" w:rsidRDefault="007D0BD2" w:rsidP="007D0BD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ermStart w:id="88031863" w:edGrp="everyone"/>
      <w:r w:rsidRPr="00E821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EDITAL DE LICITAÇÃO</w:t>
      </w:r>
    </w:p>
    <w:p w:rsidR="007D0BD2" w:rsidRPr="00E82103" w:rsidRDefault="007D0BD2" w:rsidP="007D0BD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821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“LEILÃO PUBLICO Nº. 001/20</w:t>
      </w:r>
      <w:r w:rsidR="00C55914" w:rsidRPr="00E821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</w:t>
      </w:r>
      <w:r w:rsidRPr="00E821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”.</w:t>
      </w:r>
    </w:p>
    <w:p w:rsidR="007D0BD2" w:rsidRPr="00E82103" w:rsidRDefault="007D0BD2" w:rsidP="007D0BD2">
      <w:pPr>
        <w:tabs>
          <w:tab w:val="left" w:pos="2835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821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TIPO DA LICITAÇÃO: “MAIOR LANCE”.</w:t>
      </w:r>
    </w:p>
    <w:p w:rsidR="007D0BD2" w:rsidRPr="00E82103" w:rsidRDefault="007D0BD2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 </w:t>
      </w: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AMM - ASSOCIAÇÃO MATOGROSSESE DOS MUNICIPIOS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CNPJ 00.234.260/0001-21, com sede na Avenida Historiador Rubens de Mendonça N° 3.920, Bosque da Saúde, CEP: 78.055-000, neste ato denominado simplesmente AMM ou Vendedor, torna público para conhecimento dos interessados, que em data, horário e </w:t>
      </w:r>
      <w:r w:rsidR="009466DD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local mencionado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 através do Leiloeiro nomeado </w:t>
      </w:r>
      <w:r w:rsidRPr="00E82103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  <w:t>Fábio Albuquerque da Silva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devidamente nomeado e autorizado, realizará a presente licitação na modalidade de leilão público, a fim de receber lances, para a venda dos bens disponibilizados e relacionado no Anexo l do presente Edital. 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 presente leilão realizar-se-á com estrita observância do princípio da Licitação, nos termos da Lei N° 8.666/93 de 21/06/93, Lei N°.8.883/94 de 08/06/94, Decreto n° 21.981/32, e suas alterações, pelo presente Edital e demais legislações aplicáveis, sendo que os documentos expedidos pelo </w:t>
      </w:r>
      <w:proofErr w:type="gramStart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Leiloeiro  são</w:t>
      </w:r>
      <w:proofErr w:type="gramEnd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revestidos de Fé Pública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para os seus devidos fins e efeitos.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 Edital completo se encontra a disposição dos interessados, e a descrição dos bens  para apreciação e meramente de caráter de divulgação no site : </w:t>
      </w:r>
      <w:hyperlink r:id="rId8" w:history="1">
        <w:r w:rsidR="009466DD" w:rsidRPr="00E82103">
          <w:rPr>
            <w:rStyle w:val="Hyperlink"/>
            <w:rFonts w:ascii="Times New Roman" w:eastAsia="Calibri" w:hAnsi="Times New Roman" w:cs="Times New Roman"/>
            <w:sz w:val="24"/>
            <w:szCs w:val="24"/>
            <w:lang w:eastAsia="en-US"/>
          </w:rPr>
          <w:t>www.amm.org.br/portaltransparencia</w:t>
        </w:r>
      </w:hyperlink>
      <w:r w:rsidR="009466DD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 informações AMM  (65) 2123-1230.</w:t>
      </w:r>
    </w:p>
    <w:p w:rsidR="00E63A6A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 leilão será realizado na sede da AMM</w:t>
      </w:r>
      <w:r w:rsidR="00337926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D0DA6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no dia </w:t>
      </w:r>
      <w:r w:rsidR="004D58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06</w:t>
      </w:r>
      <w:r w:rsidR="00337926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de </w:t>
      </w:r>
      <w:proofErr w:type="gramStart"/>
      <w:r w:rsidR="00C55914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Novembro</w:t>
      </w:r>
      <w:proofErr w:type="gramEnd"/>
      <w:r w:rsidR="00337926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de 20</w:t>
      </w:r>
      <w:r w:rsidR="00C55914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4697E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ás 09:00 horário de Cuiabá</w:t>
      </w:r>
      <w:r w:rsidR="0034697E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os interessados deverão realizar suas visitas e vistorias aos bens disponibilizados para o leilão a partir do dia </w:t>
      </w:r>
      <w:r w:rsidR="00C55914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16</w:t>
      </w:r>
      <w:r w:rsidR="00E63A6A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</w:t>
      </w:r>
      <w:r w:rsidR="00C55914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</w:t>
      </w:r>
      <w:r w:rsidR="00E63A6A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</w:t>
      </w:r>
      <w:r w:rsidR="00C55914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no horário das 08:00 ao </w:t>
      </w:r>
      <w:r w:rsidR="00C55914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11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="00C55914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30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horas e das 13:30 às 17:</w:t>
      </w:r>
      <w:r w:rsidR="00C55914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00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horas</w:t>
      </w:r>
      <w:r w:rsidR="00E63A6A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, na sede da AMM, com endereço definido neste preambulo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E63A6A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01 – </w:t>
      </w: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CONDIÇÕES DE PARTICIPAÇÃO – habilitação, lances e pagamento.</w:t>
      </w:r>
    </w:p>
    <w:p w:rsidR="00170E35" w:rsidRPr="00E82103" w:rsidRDefault="00170E35" w:rsidP="00170E35">
      <w:pPr>
        <w:numPr>
          <w:ilvl w:val="1"/>
          <w:numId w:val="1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DA HABILITAÇÃO: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Poderão participar e oferecer lances no leilão os licitantes que se habilitarem, pessoas físicas ou jurídicas, portadoras dos originais de RG e CPF; se empresa, cópia de Contrato Social e cartão do CNPJ; e se representante, Procuração objetiva passada por Cartório. Não podem participar funcionários e servidores da </w:t>
      </w:r>
      <w:r w:rsidR="007D0BD2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AMM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/Vendedor.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1.2. </w:t>
      </w: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DOS LANCES: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1.2.1. Os lances começam com o valor da avaliação do be</w:t>
      </w:r>
      <w:r w:rsidR="007D0BD2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m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, sendo somente presenciais e ve</w:t>
      </w:r>
      <w:r w:rsidR="0000271D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rbais, 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sendo declarado vencedor na batida do martelo pelo leiloeiro o licitante habilitado que maior preço oferecer.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1.2.2. As vendas serão efetuadas somente com lances para pagamento </w:t>
      </w:r>
      <w:proofErr w:type="gramStart"/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exclusivamente À</w:t>
      </w:r>
      <w:proofErr w:type="gramEnd"/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VISTA.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1.2.3. Havendo incidência do ICMS ou outros ônus, </w:t>
      </w:r>
      <w:r w:rsidR="007D0BD2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estes 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serão por conta e suportados pelo arrematante.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1.3. </w:t>
      </w: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DO PAGAMENTO: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1.3.1. O pagamento e acerto de contas poderá ser realizado em até cinco dias úteis após </w:t>
      </w:r>
      <w:proofErr w:type="gramStart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arrematação,  com</w:t>
      </w:r>
      <w:proofErr w:type="gramEnd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dinheiro via TED, DOC, transferência ou depositado, bem como em cheque. No caso de pagamento em cheque, o </w:t>
      </w:r>
      <w:r w:rsidR="007D0BD2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bem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adquirido só será liberado pelo Vendedor e/</w:t>
      </w:r>
      <w:r w:rsidR="00C55914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ou Leiloeiro após a compensação,</w:t>
      </w:r>
      <w:r w:rsidR="00DD031A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lembrando que será um tipo de pagamento para cada item deste leilão, </w:t>
      </w:r>
      <w:proofErr w:type="spellStart"/>
      <w:r w:rsidR="00DD031A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ex</w:t>
      </w:r>
      <w:proofErr w:type="spellEnd"/>
      <w:r w:rsidR="00DD031A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: se um arrematante ganhar 2 itens, deve-se ser feito o pagamento por item, em nenhuma hipótese poderá ser feito pagamento conjunto.</w:t>
      </w:r>
      <w:r w:rsidR="00C55914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1.3.2. O leilão é uma operação liquida e certa onde o licitante habilitado participa de livre e </w:t>
      </w:r>
      <w:r w:rsidR="003E5A8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espontânea vontade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e a desistência, a frustração do caráter competitivo, o não pagamento, a devolução, sustação ou bloqueio do cheque </w:t>
      </w:r>
      <w:r w:rsidR="003E5A8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dado para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liquidação e pagamento, configura fraude, dolo e prejuízo aos cofres públicos e ao Leiloeiro, e em ocorrendo, será registrado BO Policial.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02 – </w:t>
      </w: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DOS </w:t>
      </w:r>
      <w:r w:rsidR="00C55914"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BEM MÓVEL E</w:t>
      </w: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DA TRANSFERÊNCIA: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2.1. </w:t>
      </w:r>
      <w:r w:rsidR="004331FC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</w:t>
      </w: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be</w:t>
      </w:r>
      <w:r w:rsidR="004331FC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</w:t>
      </w: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ser</w:t>
      </w:r>
      <w:r w:rsidR="00E63A6A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á</w:t>
      </w: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vendido no estado em que se encontra quando de sua exposição.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2.2. O licitante deverá se certificar das características e circunstâncias que envolvem </w:t>
      </w:r>
      <w:proofErr w:type="gramStart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os be</w:t>
      </w:r>
      <w:r w:rsidR="004331FC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m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descrito</w:t>
      </w:r>
      <w:proofErr w:type="gramEnd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no Anexo I, inclusive, ano</w:t>
      </w:r>
      <w:r w:rsidR="00E63A6A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número de motor e chassis, número de série e outros detalhes, não podendo alegar desconhecimento das condições e estado físico ou de conservação do </w:t>
      </w:r>
      <w:r w:rsidR="004331FC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bem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ofertado e adquirido por livre e espontânea vontade, dos prazos para transferência e registro, das possíveis restrições ou obrigações impostas por leis vigentes.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2.2.1. Havendo necessidade de remarcação de chassis e motor, esta operação será por conta e risco do Arrematante.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2.3. As visitas “in loco” ao be</w:t>
      </w:r>
      <w:r w:rsidR="004331FC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m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disponibilizado para leilão, vistorias, levantamentos, consultas, deverão ser realizadas com antecedência e estão liberadas a exclusiva vontade e decisão dos interessados, não cabendo após a arrematação, reclamações, arrependimentos, indenizações ou quaisquer outros procedimentos não previstos neste Edital.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2.4. Será de responsabilidade do Arrematante as providências de retirada do </w:t>
      </w:r>
      <w:r w:rsidR="004331FC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bem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adquirido do local onde se encontra</w:t>
      </w:r>
      <w:r w:rsidR="004331FC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consertos, remoção, fretes, despesas tradicionais como transferência e/ou regularização de documentos, impostos </w:t>
      </w:r>
      <w:proofErr w:type="spellStart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etc</w:t>
      </w:r>
      <w:proofErr w:type="spellEnd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 todos os atos e ações decorrentes para efetivação da propriedade em seu nome, bem como, demais custos oriundos.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2.5. Os arrematantes </w:t>
      </w:r>
      <w:r w:rsidR="003E5A8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do veículo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terão o prazo máximo de 60 (sessenta) dias, a contar da data do leilão, para realizar e fazer a vistoria obrigatória no Detran e efetivar a transferência de propriedade junto ao órgão.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2.5.1. O Vendedor fará o comunicado DCE venda ao Detran e entregará o certificado de Registro de Veículo – Autorização para transferência, devidamente datado e preenchido </w:t>
      </w:r>
      <w:r w:rsidR="00DD031A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EM NOME DO ARREMATANTE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ou na forma necessária para efetivar o compromisso. O arrematante assume o compromisso de não circular com o veículo antes da consolida</w:t>
      </w:r>
      <w:r w:rsidR="00D90967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da transferência de propriedade e </w:t>
      </w:r>
      <w:r w:rsidR="00D90967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pagamento </w:t>
      </w:r>
      <w:r w:rsidR="00DC0A1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TAXAS e LICENCIAMENTO  DO DETRAN DE 2020</w:t>
      </w:r>
      <w:r w:rsidR="00E82103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2.5.2. Vencido o prazo concedido para transferência no item 2.5. </w:t>
      </w:r>
      <w:proofErr w:type="gramStart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proofErr w:type="gramEnd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arrematante autoriza desde já a busca e apreensão judicial do veículo que ficará depositado no local onde se realizou o leilão até a consolidação da obrigação.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2.5.3. O arrematante responde civil e criminalmente por danos que vier a causa em face do não cumprimento dos termos deste Edital.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2.6. O Leiloeiro Oficial é consignatário ou mandatário para operacionalizar, preparar e realizar o leilão, não tendo autoridade, responsabilidade e nem respondendo pela transferência de propriedade, documentos ou atos equivalentes, bem como, por </w:t>
      </w:r>
      <w:proofErr w:type="gramStart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quaisquer falta</w:t>
      </w:r>
      <w:proofErr w:type="gramEnd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, falha ou omissão do Vendedor pós venda em leilão.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03 – </w:t>
      </w: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DISPOSIÇÕES GERAIS: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3.1 </w:t>
      </w:r>
      <w:r w:rsidR="003E5A8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É</w:t>
      </w:r>
      <w:proofErr w:type="gramEnd"/>
      <w:r w:rsidR="003E5A8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vedado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ao Arrematante ceder, permutar, vender, penhorar, dar em garantia, ou de qualquer outra forma, negociar os be</w:t>
      </w:r>
      <w:r w:rsidR="004331FC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m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adquirido antes do acerto de contas, pagamento total da arrematação e transferência de propriedade.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3.2 </w:t>
      </w:r>
      <w:r w:rsidR="004331FC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Fica</w:t>
      </w:r>
      <w:proofErr w:type="gramEnd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sob a inteira responsabilidade do Arrematante a retirada dos be</w:t>
      </w:r>
      <w:r w:rsidR="004331FC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m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móve</w:t>
      </w:r>
      <w:r w:rsidR="004331FC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l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no prazo máximo de 05(cinco) dias úteis após a confirmação do pagamento da arrematação, observados os demais requisitos previstos neste edital. Após esse prazo será cobrado taxa de depósito a base de R$ 10,00 (dez reais) por dia.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3.3 Após</w:t>
      </w:r>
      <w:proofErr w:type="gramEnd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decorridos 30 (trinta) dias sem providência de retirada do bem, o lote retoma ao patrimônio do Vendedor, independentemente de aviso ou notificação, perdendo o Arrematante as quantias pagas, a qual não caberá recursos.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04 – </w:t>
      </w: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DISPOSIÇÕES FINAIS: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4.1 O Vendedor se reserva o direito de vincular a venda a sua aprovação ou não, fazer alterações, colocar lotes, de retirar </w:t>
      </w:r>
      <w:proofErr w:type="gramStart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no todos</w:t>
      </w:r>
      <w:proofErr w:type="gramEnd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ou em parte, desdobrar, agrupar ou reunir bens em lotes a seu exclusivo critério, anular a arrematação em face da necessidade ou relevante interesse da administração, no momento ou após o leilão, sem que caiba qualquer reclamação ou indenização.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4.2. O </w:t>
      </w:r>
      <w:r w:rsidR="003E5A8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Leiloeiro Oficial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está apto e autorizado a introduzir modificações, proceder alterações, fazer correções de eventuais erros ou omissões e demais atos necessários a correção, transparência e ao aperfeiçoamento do presente leilão.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4.3. Encerrado o leilão, o Leiloeiro lavrará e assinará a ATA circunstanciada com os registros indispensáveis, </w:t>
      </w:r>
      <w:r w:rsidR="004331FC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o bem relacionado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, avaliação e valor de venda e respectivos Arrematantes, contendo também os acontecimentos e fatos relevantes. Qualquer alteração posterior a emissão da Ata deverá ser efetuada mediante Certidão aditiva do Leiloeiro.</w:t>
      </w:r>
    </w:p>
    <w:p w:rsidR="00170E35" w:rsidRPr="00E82103" w:rsidRDefault="003E5A8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4.4</w:t>
      </w:r>
      <w:r w:rsidR="00170E3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Fica eleito o fórum da Comarca de </w:t>
      </w:r>
      <w:r w:rsidR="004331FC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Cuiabá</w:t>
      </w:r>
      <w:r w:rsidR="00170E3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-MT, renunciando a qualquer outro. 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GABINETE DO EXCELENTÍSSIMO SENHOR PRE</w:t>
      </w:r>
      <w:r w:rsidR="009B7A6A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SIDENTE DA AMM</w:t>
      </w: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AOS </w:t>
      </w:r>
      <w:r w:rsidR="00DD031A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15</w:t>
      </w: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DIAS DO MÊS DE </w:t>
      </w:r>
      <w:r w:rsidR="00DD031A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OUTUBRO</w:t>
      </w: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DE 20</w:t>
      </w:r>
      <w:r w:rsidR="00DD031A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9B7A6A" w:rsidRPr="00E82103" w:rsidRDefault="009B7A6A" w:rsidP="009B7A6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B7A6A" w:rsidRPr="00E82103" w:rsidRDefault="009B7A6A" w:rsidP="009B7A6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70E35" w:rsidRPr="00E82103" w:rsidRDefault="00170E35" w:rsidP="009B7A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</w:t>
      </w:r>
      <w:r w:rsidR="009B7A6A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EURILAN FRAGA</w:t>
      </w:r>
    </w:p>
    <w:p w:rsidR="00170E35" w:rsidRPr="00E82103" w:rsidRDefault="009B7A6A" w:rsidP="009B7A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PRESIDENTE</w:t>
      </w:r>
      <w:r w:rsidR="00170E35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B7A6A" w:rsidRDefault="009B7A6A" w:rsidP="00170E3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170E35" w:rsidRPr="00E82103" w:rsidRDefault="00170E35" w:rsidP="00170E3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ANEXO I</w:t>
      </w:r>
    </w:p>
    <w:p w:rsidR="00170E35" w:rsidRPr="00E82103" w:rsidRDefault="00170E35" w:rsidP="00170E3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PLANILHA DE AVALIAÇÃO DE VEÍCULO</w:t>
      </w:r>
      <w:r w:rsidR="008A56F4"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</w:t>
      </w: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PARA ALIENAÇÃO – LEILÃO:</w:t>
      </w:r>
    </w:p>
    <w:p w:rsidR="00170E35" w:rsidRPr="00E82103" w:rsidRDefault="00170E35" w:rsidP="00170E3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(Artigos 20 e 21 do Decreto n. 21.981/32)</w:t>
      </w:r>
    </w:p>
    <w:p w:rsidR="00170E35" w:rsidRPr="00E82103" w:rsidRDefault="009B7A6A" w:rsidP="00170E3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AMM – ASSOCIAÇÃO MATO-GROSSENSE DOS MUNICIPIOS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1-Metodologia de avaliação utilizada para o resultado apresentado: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1. Comparativo do que se vai avaliar com o valor real do bem, ou similar, disponível no mercado tradicional.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2- Na depreciação real são considerados os quesitos: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2.1. Estado físico e mecânico do bem (especialmente lataria, acabamento interno, motor, </w:t>
      </w:r>
      <w:proofErr w:type="spellStart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cx</w:t>
      </w:r>
      <w:proofErr w:type="spellEnd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câmbio </w:t>
      </w:r>
      <w:proofErr w:type="spellStart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etc</w:t>
      </w:r>
      <w:proofErr w:type="spellEnd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2.2. Fator de preços médios no mercado de revenda, com lucro do vendedor, da loja ou concessionária.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2.3. Valor das despesas acessórias como: pagamento da comissão, remoção, consertos, frete, impostos etc.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2.4. Venda sem garantia alguma e com pagamento à vista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3 – </w:t>
      </w: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Avaliação: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3.1. Depreciação e baixa no valor real do bem dos quesitos elencados no Item 2;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3.2. Preços médios praticados em outros leilões equivalentes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3.3. Visita e conferência “in loco” ao be</w:t>
      </w:r>
      <w:r w:rsidR="009B7A6A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m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3.4. Opinião de mercado (pesquisa Internet para os itens em bom estado e com garantia mínima),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3.5. Considerada a oferta e facilidade do mercado para vendas parceladas, pagamentos, descontos.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3.6. Preços atrativos para chamada de licitantes.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3.7. A avaliação é uma expectativa de valor e não significa o preço mínimo ou lance inicial, podendo ser alterado por conta e risco do Vendedor, inclusive, por relevante interesse da administração superior.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4- </w:t>
      </w: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Observações: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4.1. Na presente avaliação não foram consideradas eventuais multas de trânsito, impostos incidentes, ônus, dívidas reais, etc. uma vez que a informação é de os bens estão regularizados.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4.2. Os valores de avaliação poderão sofrer a expectativa de ágio ou até deságio dos não vendidos.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4.3. Na avaliação desprezamos as frações, ficando os números inteiros.</w:t>
      </w:r>
    </w:p>
    <w:p w:rsidR="00170E35" w:rsidRPr="00E82103" w:rsidRDefault="00170E35" w:rsidP="00170E3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4.</w:t>
      </w:r>
      <w:r w:rsidR="00BD45E7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. Todas as formalidades e documentos para transferência de veículos junto ao Detran compete ao Vendedor.</w:t>
      </w:r>
    </w:p>
    <w:p w:rsidR="00170E35" w:rsidRDefault="00170E35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E82103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5. Relação do Lote Disponibilizado – Sem Garantia – No estado em que se encontram:</w:t>
      </w:r>
    </w:p>
    <w:p w:rsidR="00E82103" w:rsidRPr="00E82103" w:rsidRDefault="00E82103" w:rsidP="00170E3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E82103" w:rsidRPr="00170E35" w:rsidTr="0009459F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5" w:rsidRPr="008A56F4" w:rsidRDefault="000D297A" w:rsidP="00170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>ITEM 01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 xml:space="preserve"> – </w:t>
            </w:r>
            <w:r w:rsidR="006C0F81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>MOTOCICLETA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>:</w:t>
            </w:r>
          </w:p>
          <w:p w:rsidR="00A37C48" w:rsidRPr="008A56F4" w:rsidRDefault="00170E35" w:rsidP="00A37C4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01(um</w:t>
            </w:r>
            <w:r w:rsidR="006C0F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) </w:t>
            </w:r>
            <w:r w:rsidR="006C0F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MOTOCICLETA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DD03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–</w:t>
            </w:r>
            <w:r w:rsidR="00A37C48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DD03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MOTO HONDA CARGO </w:t>
            </w:r>
            <w:r w:rsidR="000D297A" w:rsidRPr="008A56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37C48" w:rsidRPr="008A56F4" w:rsidRDefault="00A37C48" w:rsidP="00A37C4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RENAVAM</w:t>
            </w:r>
            <w:r w:rsidR="00755B5F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DD031A" w:rsidRPr="00DD031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543213935</w:t>
            </w:r>
            <w:r w:rsidR="000D297A" w:rsidRPr="008A56F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A37C48" w:rsidRPr="008A56F4" w:rsidRDefault="00755B5F" w:rsidP="00A37C4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hassi</w:t>
            </w:r>
            <w:r w:rsidR="00A37C48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 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6C0F81">
              <w:t>9C2KC1670DR505045</w:t>
            </w:r>
            <w:r w:rsidR="00A37C48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A37C48" w:rsidRPr="008A56F4" w:rsidRDefault="00A37C48" w:rsidP="00A37C4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laca </w:t>
            </w:r>
            <w:r w:rsidR="000D297A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–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6C0F81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OBR-7106 </w:t>
            </w:r>
            <w:r w:rsidR="00755B5F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MT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  <w:p w:rsidR="00A37C48" w:rsidRPr="008A56F4" w:rsidRDefault="00A37C48" w:rsidP="00A37C4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no  e</w:t>
            </w:r>
            <w:proofErr w:type="gramEnd"/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55B5F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mod</w:t>
            </w:r>
            <w:r w:rsidR="00755B5F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elo</w:t>
            </w:r>
            <w:r w:rsidR="00170E35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  <w:r w:rsidR="00755B5F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20</w:t>
            </w:r>
            <w:r w:rsidR="000D297A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6C0F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  <w:r w:rsidR="00755B5F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/20</w:t>
            </w:r>
            <w:r w:rsidR="000D297A"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6C0F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</w:t>
            </w:r>
          </w:p>
          <w:p w:rsidR="00DC0A19" w:rsidRPr="008A56F4" w:rsidRDefault="000D297A" w:rsidP="00DC0A1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No estado em que se encontra.</w:t>
            </w:r>
            <w:r w:rsidR="00D909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DC0A1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(A REGULARIZAR TAXAS e </w:t>
            </w:r>
            <w:proofErr w:type="gramStart"/>
            <w:r w:rsidR="00DC0A1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LICENCIAMENTO  DO</w:t>
            </w:r>
            <w:proofErr w:type="gramEnd"/>
            <w:r w:rsidR="00DC0A1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DETRAN DE 2020)</w:t>
            </w:r>
          </w:p>
          <w:p w:rsidR="000D297A" w:rsidRPr="000D297A" w:rsidRDefault="000D297A" w:rsidP="004D585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AVALIADO EM R$ </w:t>
            </w:r>
            <w:r w:rsidR="004D58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1.100,00</w:t>
            </w: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(</w:t>
            </w:r>
            <w:r w:rsidR="004D58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MIL E CEM REAIS</w:t>
            </w: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)</w:t>
            </w:r>
          </w:p>
        </w:tc>
      </w:tr>
      <w:tr w:rsidR="00E82103" w:rsidRPr="00170E35" w:rsidTr="0009459F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E35" w:rsidRPr="00170E35" w:rsidRDefault="00170E35" w:rsidP="00170E35">
            <w:pPr>
              <w:jc w:val="both"/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</w:p>
        </w:tc>
      </w:tr>
    </w:tbl>
    <w:p w:rsidR="00170E35" w:rsidRDefault="00170E35" w:rsidP="00170E35">
      <w:pPr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1"/>
      </w:tblGrid>
      <w:tr w:rsidR="004D585B" w:rsidRPr="00170E35" w:rsidTr="00A83DDB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297A" w:rsidRPr="008A56F4" w:rsidRDefault="000D297A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>ITEM 02 – VEICULO:</w:t>
            </w:r>
          </w:p>
          <w:p w:rsidR="000D297A" w:rsidRPr="008A56F4" w:rsidRDefault="000D297A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01(um) Veículo - </w:t>
            </w:r>
            <w:r w:rsidR="00D90967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FIAT/UNO WAY 1.4</w:t>
            </w:r>
          </w:p>
          <w:p w:rsidR="00D90967" w:rsidRDefault="000D297A" w:rsidP="00A83DDB">
            <w:pPr>
              <w:jc w:val="both"/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RENAVAM - </w:t>
            </w:r>
            <w:r w:rsidR="00D90967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01088826412 </w:t>
            </w:r>
          </w:p>
          <w:p w:rsidR="00D90967" w:rsidRDefault="000D297A" w:rsidP="00A83DDB">
            <w:pPr>
              <w:jc w:val="both"/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Chassi -  </w:t>
            </w:r>
            <w:r w:rsidR="00D90967">
              <w:t>9BD195A6MG0758808</w:t>
            </w:r>
          </w:p>
          <w:p w:rsidR="000D297A" w:rsidRPr="008A56F4" w:rsidRDefault="000D297A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Placa – </w:t>
            </w:r>
            <w:r w:rsidRPr="008A56F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QB</w:t>
            </w:r>
            <w:r w:rsidR="00D9096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U</w:t>
            </w:r>
            <w:r w:rsidRPr="008A56F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="00D9096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4803</w:t>
            </w:r>
            <w:r w:rsidRPr="008A56F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/MT </w:t>
            </w:r>
          </w:p>
          <w:p w:rsidR="000D297A" w:rsidRPr="008A56F4" w:rsidRDefault="000D297A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Ano  e</w:t>
            </w:r>
            <w:proofErr w:type="gramEnd"/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modelo - 201</w:t>
            </w:r>
            <w:r w:rsidR="00D9096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/2016 –</w:t>
            </w:r>
          </w:p>
          <w:p w:rsidR="00DC0A19" w:rsidRPr="008A56F4" w:rsidRDefault="000D297A" w:rsidP="00DC0A1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No estado em que se encontra.</w:t>
            </w:r>
            <w:r w:rsidR="00D909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DC0A1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(A REGULARIZAR TAXAS e </w:t>
            </w:r>
            <w:proofErr w:type="gramStart"/>
            <w:r w:rsidR="00DC0A1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LICENCIAMENTO  DO</w:t>
            </w:r>
            <w:proofErr w:type="gramEnd"/>
            <w:r w:rsidR="00DC0A1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DETRAN DE 2020)</w:t>
            </w:r>
          </w:p>
          <w:p w:rsidR="000D297A" w:rsidRPr="008A56F4" w:rsidRDefault="000D297A" w:rsidP="004D58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AVALIADO EM R$ </w:t>
            </w:r>
            <w:r w:rsidR="004D58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21.333,33</w:t>
            </w: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(</w:t>
            </w:r>
            <w:r w:rsidR="004D58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VINTE E UM MIL TREZENTOS E TRINTA E TRÊS REAIS E TRINTA E TRÊS CENTAVOS</w:t>
            </w: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)</w:t>
            </w:r>
          </w:p>
        </w:tc>
      </w:tr>
    </w:tbl>
    <w:p w:rsidR="000D297A" w:rsidRDefault="000D297A" w:rsidP="00170E35">
      <w:pPr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16ADC" w:rsidRPr="00170E35" w:rsidTr="00A83DDB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DC" w:rsidRPr="008A56F4" w:rsidRDefault="00D16ADC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>ITEM 0</w:t>
            </w:r>
            <w:r w:rsidR="008A733D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>3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 xml:space="preserve"> – VEICULO:</w:t>
            </w:r>
          </w:p>
          <w:p w:rsidR="00D16ADC" w:rsidRPr="008A56F4" w:rsidRDefault="00D16ADC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01(um) Veículo - </w:t>
            </w:r>
            <w:r w:rsidR="00D90967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FIAT/PALIO FIRE</w:t>
            </w:r>
          </w:p>
          <w:p w:rsidR="00D16ADC" w:rsidRPr="008A56F4" w:rsidRDefault="00D16ADC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RENAVAM - </w:t>
            </w:r>
            <w:r w:rsidR="00D90967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01025047440 </w:t>
            </w:r>
          </w:p>
          <w:p w:rsidR="00D90967" w:rsidRDefault="00D16ADC" w:rsidP="00A83DDB">
            <w:pPr>
              <w:jc w:val="both"/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Chassi -  </w:t>
            </w:r>
            <w:r w:rsidR="00D90967">
              <w:t>9BD17122LF5958519</w:t>
            </w:r>
          </w:p>
          <w:p w:rsidR="00D16ADC" w:rsidRPr="008A56F4" w:rsidRDefault="00D16ADC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Placa – </w:t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QB</w:t>
            </w:r>
            <w:r w:rsidR="00D90967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C</w:t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-</w:t>
            </w:r>
            <w:r w:rsidR="00D90967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3287</w:t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/MT</w:t>
            </w:r>
          </w:p>
          <w:p w:rsidR="00D16ADC" w:rsidRPr="008A56F4" w:rsidRDefault="00D16ADC" w:rsidP="00A83DD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Ano  e</w:t>
            </w:r>
            <w:proofErr w:type="gramEnd"/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modelo - 201</w:t>
            </w:r>
            <w:r w:rsidR="00D9096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/201</w:t>
            </w:r>
            <w:r w:rsidR="00D9096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  <w:r w:rsidRPr="008A56F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</w:t>
            </w:r>
          </w:p>
          <w:p w:rsidR="00D16ADC" w:rsidRPr="008A56F4" w:rsidRDefault="00D16ADC" w:rsidP="00A83DD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No estado em que se encontra.</w:t>
            </w:r>
            <w:r w:rsidR="00D909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(A REGULARIZAR TAXAS</w:t>
            </w:r>
            <w:r w:rsidR="00DC0A1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e </w:t>
            </w:r>
            <w:proofErr w:type="gramStart"/>
            <w:r w:rsidR="00DC0A1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LICENCIAMENTO </w:t>
            </w:r>
            <w:r w:rsidR="00D909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DO</w:t>
            </w:r>
            <w:proofErr w:type="gramEnd"/>
            <w:r w:rsidR="00D9096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DETRAN DE 2020)</w:t>
            </w:r>
          </w:p>
          <w:p w:rsidR="00D16ADC" w:rsidRPr="000D297A" w:rsidRDefault="00D16ADC" w:rsidP="004D585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AVALIADO EM R$ </w:t>
            </w:r>
            <w:r w:rsidR="004D58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16.000,00</w:t>
            </w: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(</w:t>
            </w:r>
            <w:r w:rsidR="004D585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DEZESSEIS MIL REAIS</w:t>
            </w:r>
            <w:r w:rsidRPr="008A56F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)</w:t>
            </w:r>
          </w:p>
        </w:tc>
      </w:tr>
    </w:tbl>
    <w:p w:rsidR="000D297A" w:rsidRDefault="000D297A" w:rsidP="00170E35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E82103" w:rsidRDefault="00E82103" w:rsidP="00170E35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170E35" w:rsidRPr="00E82103" w:rsidRDefault="009B7A6A" w:rsidP="00170E35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Cuia</w:t>
      </w:r>
      <w:bookmarkStart w:id="0" w:name="_GoBack"/>
      <w:bookmarkEnd w:id="0"/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bá </w:t>
      </w:r>
      <w:r w:rsidR="00170E3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0E3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MT, 1</w:t>
      </w:r>
      <w:r w:rsidR="00E82103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170E3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</w:t>
      </w:r>
      <w:proofErr w:type="gramStart"/>
      <w:r w:rsidR="00E82103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outubro</w:t>
      </w:r>
      <w:r w:rsidR="00170E3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de</w:t>
      </w:r>
      <w:proofErr w:type="gramEnd"/>
      <w:r w:rsidR="00170E3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</w:t>
      </w:r>
      <w:r w:rsidR="00E82103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="00170E35" w:rsidRPr="00E8210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F6EC6" w:rsidRPr="00E82103" w:rsidRDefault="005F6EC6" w:rsidP="005F6E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7C48" w:rsidRPr="00E82103" w:rsidRDefault="00A37C48" w:rsidP="005F6EC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6EC6" w:rsidRPr="00E82103" w:rsidRDefault="005F6EC6" w:rsidP="005F6EC6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2103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5F6EC6" w:rsidRPr="00E82103" w:rsidRDefault="005F6EC6" w:rsidP="005F6EC6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2103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</w:p>
    <w:p w:rsidR="001C25BF" w:rsidRPr="00E82103" w:rsidRDefault="005F6EC6" w:rsidP="00A37C48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E82103">
        <w:rPr>
          <w:rFonts w:ascii="Times New Roman" w:eastAsia="Times New Roman" w:hAnsi="Times New Roman" w:cs="Times New Roman"/>
          <w:sz w:val="24"/>
          <w:szCs w:val="24"/>
        </w:rPr>
        <w:t>Presidente</w:t>
      </w:r>
      <w:permEnd w:id="88031863"/>
    </w:p>
    <w:sectPr w:rsidR="001C25BF" w:rsidRPr="00E82103" w:rsidSect="00CF4BE9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C1" w:rsidRDefault="007E71C1" w:rsidP="005560CB">
      <w:pPr>
        <w:spacing w:after="0" w:line="240" w:lineRule="auto"/>
      </w:pPr>
      <w:r>
        <w:separator/>
      </w:r>
    </w:p>
  </w:endnote>
  <w:endnote w:type="continuationSeparator" w:id="0">
    <w:p w:rsidR="007E71C1" w:rsidRDefault="007E71C1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89" w:rsidRDefault="004E3A89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 wp14:anchorId="1B1CE89E" wp14:editId="3F14B889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4E3A89" w:rsidRDefault="004E3A89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4E3A89" w:rsidRPr="009918C3" w:rsidRDefault="004E3A89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C1" w:rsidRDefault="007E71C1" w:rsidP="005560CB">
      <w:pPr>
        <w:spacing w:after="0" w:line="240" w:lineRule="auto"/>
      </w:pPr>
      <w:r>
        <w:separator/>
      </w:r>
    </w:p>
  </w:footnote>
  <w:footnote w:type="continuationSeparator" w:id="0">
    <w:p w:rsidR="007E71C1" w:rsidRDefault="007E71C1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89" w:rsidRDefault="006C0D4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89" w:rsidRDefault="004E3A89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A010589" wp14:editId="343E0FC5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FC3FB" wp14:editId="483E5A59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A89" w:rsidRPr="00CC4890" w:rsidRDefault="004E3A8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4E3A89" w:rsidRPr="00CC4890" w:rsidRDefault="006C0D47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4E3A8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4E3A8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4E3A8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EFC3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4E3A89" w:rsidRPr="00CC4890" w:rsidRDefault="004E3A8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4E3A89" w:rsidRPr="00CC4890" w:rsidRDefault="006C0D47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4E3A8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4E3A8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4E3A8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4E3A89" w:rsidRDefault="004E3A89" w:rsidP="00DD7DC6">
    <w:pPr>
      <w:pStyle w:val="Cabealho"/>
      <w:jc w:val="center"/>
    </w:pPr>
  </w:p>
  <w:p w:rsidR="004E3A89" w:rsidRDefault="004E3A89" w:rsidP="00DD7DC6">
    <w:pPr>
      <w:pStyle w:val="Cabealho"/>
      <w:jc w:val="center"/>
    </w:pPr>
  </w:p>
  <w:p w:rsidR="004E3A89" w:rsidRPr="009918C3" w:rsidRDefault="004E3A89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89" w:rsidRDefault="006C0D4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A1288"/>
    <w:multiLevelType w:val="multilevel"/>
    <w:tmpl w:val="F6A228A6"/>
    <w:lvl w:ilvl="0">
      <w:start w:val="1"/>
      <w:numFmt w:val="decimal"/>
      <w:lvlText w:val="%1."/>
      <w:lvlJc w:val="left"/>
      <w:pPr>
        <w:ind w:left="360" w:hanging="360"/>
      </w:pPr>
      <w:rPr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u w:val="singl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z+fdYrT1JFm9WM2j68ASOqaVbQ=" w:salt="VYxhhhZJ79jnsErh/VoB6g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CB"/>
    <w:rsid w:val="0000271D"/>
    <w:rsid w:val="00012B75"/>
    <w:rsid w:val="00040802"/>
    <w:rsid w:val="00054DE9"/>
    <w:rsid w:val="000D297A"/>
    <w:rsid w:val="001422E4"/>
    <w:rsid w:val="0015466C"/>
    <w:rsid w:val="0016166E"/>
    <w:rsid w:val="00170E35"/>
    <w:rsid w:val="00171AC2"/>
    <w:rsid w:val="001860CF"/>
    <w:rsid w:val="001B26EC"/>
    <w:rsid w:val="001C25BF"/>
    <w:rsid w:val="001F3BFD"/>
    <w:rsid w:val="00225535"/>
    <w:rsid w:val="00262B39"/>
    <w:rsid w:val="00284CBE"/>
    <w:rsid w:val="00291D6A"/>
    <w:rsid w:val="0032340C"/>
    <w:rsid w:val="00337926"/>
    <w:rsid w:val="0034697E"/>
    <w:rsid w:val="00353E02"/>
    <w:rsid w:val="00355034"/>
    <w:rsid w:val="00390AE0"/>
    <w:rsid w:val="00393E99"/>
    <w:rsid w:val="003D0DA6"/>
    <w:rsid w:val="003D7003"/>
    <w:rsid w:val="003E5A85"/>
    <w:rsid w:val="004029F5"/>
    <w:rsid w:val="004259C4"/>
    <w:rsid w:val="004331FC"/>
    <w:rsid w:val="004A4D09"/>
    <w:rsid w:val="004C0E4F"/>
    <w:rsid w:val="004D585B"/>
    <w:rsid w:val="004E3A89"/>
    <w:rsid w:val="005142AD"/>
    <w:rsid w:val="0052687D"/>
    <w:rsid w:val="005560CB"/>
    <w:rsid w:val="00592CE1"/>
    <w:rsid w:val="005D23B6"/>
    <w:rsid w:val="005F6EC6"/>
    <w:rsid w:val="006028A3"/>
    <w:rsid w:val="00655932"/>
    <w:rsid w:val="006C0F81"/>
    <w:rsid w:val="006D2D62"/>
    <w:rsid w:val="006D674F"/>
    <w:rsid w:val="006E2B15"/>
    <w:rsid w:val="006E7D97"/>
    <w:rsid w:val="00701E8E"/>
    <w:rsid w:val="00724DC0"/>
    <w:rsid w:val="00755B5F"/>
    <w:rsid w:val="00756E57"/>
    <w:rsid w:val="00785621"/>
    <w:rsid w:val="007D0BD2"/>
    <w:rsid w:val="007D3C6D"/>
    <w:rsid w:val="007E5C0A"/>
    <w:rsid w:val="007E71C1"/>
    <w:rsid w:val="00833E65"/>
    <w:rsid w:val="00851253"/>
    <w:rsid w:val="0085659B"/>
    <w:rsid w:val="00874235"/>
    <w:rsid w:val="00876ACF"/>
    <w:rsid w:val="008A3785"/>
    <w:rsid w:val="008A56F4"/>
    <w:rsid w:val="008A733D"/>
    <w:rsid w:val="008D63E5"/>
    <w:rsid w:val="008E2A92"/>
    <w:rsid w:val="00930061"/>
    <w:rsid w:val="009428DE"/>
    <w:rsid w:val="009466DD"/>
    <w:rsid w:val="00967566"/>
    <w:rsid w:val="009918C3"/>
    <w:rsid w:val="009B7A6A"/>
    <w:rsid w:val="009C18D4"/>
    <w:rsid w:val="009C3E78"/>
    <w:rsid w:val="009E406E"/>
    <w:rsid w:val="00A32E04"/>
    <w:rsid w:val="00A37C48"/>
    <w:rsid w:val="00AD384F"/>
    <w:rsid w:val="00AD7603"/>
    <w:rsid w:val="00B206D4"/>
    <w:rsid w:val="00B450F1"/>
    <w:rsid w:val="00B60289"/>
    <w:rsid w:val="00BD45E7"/>
    <w:rsid w:val="00BF0129"/>
    <w:rsid w:val="00BF3DCA"/>
    <w:rsid w:val="00C55914"/>
    <w:rsid w:val="00C9601E"/>
    <w:rsid w:val="00CC4890"/>
    <w:rsid w:val="00CC7B54"/>
    <w:rsid w:val="00CF4BE9"/>
    <w:rsid w:val="00D16ADC"/>
    <w:rsid w:val="00D23910"/>
    <w:rsid w:val="00D368F2"/>
    <w:rsid w:val="00D47505"/>
    <w:rsid w:val="00D64C3F"/>
    <w:rsid w:val="00D90967"/>
    <w:rsid w:val="00D9384F"/>
    <w:rsid w:val="00DB3405"/>
    <w:rsid w:val="00DC00B4"/>
    <w:rsid w:val="00DC0A19"/>
    <w:rsid w:val="00DC0DB9"/>
    <w:rsid w:val="00DD031A"/>
    <w:rsid w:val="00DD7DC6"/>
    <w:rsid w:val="00DF4BDA"/>
    <w:rsid w:val="00E25E6C"/>
    <w:rsid w:val="00E35994"/>
    <w:rsid w:val="00E45DF1"/>
    <w:rsid w:val="00E63A6A"/>
    <w:rsid w:val="00E70CCE"/>
    <w:rsid w:val="00E74A55"/>
    <w:rsid w:val="00E82103"/>
    <w:rsid w:val="00EA0A85"/>
    <w:rsid w:val="00ED2B8F"/>
    <w:rsid w:val="00F04655"/>
    <w:rsid w:val="00F23912"/>
    <w:rsid w:val="00F24E65"/>
    <w:rsid w:val="00F328BC"/>
    <w:rsid w:val="00F378E7"/>
    <w:rsid w:val="00F37DAA"/>
    <w:rsid w:val="00F4261A"/>
    <w:rsid w:val="00F53249"/>
    <w:rsid w:val="00F6338B"/>
    <w:rsid w:val="00F66BF8"/>
    <w:rsid w:val="00FA2478"/>
    <w:rsid w:val="00FA31FD"/>
    <w:rsid w:val="00FB5E31"/>
    <w:rsid w:val="00FD307E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76D7C3AC"/>
  <w15:docId w15:val="{760D9A6D-1F8B-4719-9343-C45197BE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table" w:styleId="Tabelacomgrade">
    <w:name w:val="Table Grid"/>
    <w:basedOn w:val="Tabelanormal"/>
    <w:uiPriority w:val="59"/>
    <w:rsid w:val="00170E3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portaltransparenc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CB223-F15D-4573-9B28-3F4A6951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1720</Words>
  <Characters>9289</Characters>
  <Application>Microsoft Office Word</Application>
  <DocSecurity>8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Usuário do Windows</cp:lastModifiedBy>
  <cp:revision>20</cp:revision>
  <cp:lastPrinted>2019-03-19T21:13:00Z</cp:lastPrinted>
  <dcterms:created xsi:type="dcterms:W3CDTF">2016-05-10T15:03:00Z</dcterms:created>
  <dcterms:modified xsi:type="dcterms:W3CDTF">2020-10-20T21:32:00Z</dcterms:modified>
</cp:coreProperties>
</file>