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D2" w:rsidRPr="00EB1154" w:rsidRDefault="007D0BD2" w:rsidP="007D0B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ermStart w:id="694357737" w:edGrp="everyone"/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EDITAL DE LICITAÇÃO</w:t>
      </w:r>
    </w:p>
    <w:p w:rsidR="007D0BD2" w:rsidRPr="00EB1154" w:rsidRDefault="007D0BD2" w:rsidP="007D0B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LEILÃO</w:t>
      </w: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PUBLICO</w:t>
      </w: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Nº.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001</w:t>
      </w: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 w:rsidR="002255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”.</w:t>
      </w:r>
    </w:p>
    <w:p w:rsidR="007D0BD2" w:rsidRPr="00824B41" w:rsidRDefault="007D0BD2" w:rsidP="007D0BD2">
      <w:pPr>
        <w:tabs>
          <w:tab w:val="left" w:pos="283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TIPO DA LICITAÇÃO: “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MAIOR</w:t>
      </w: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LANCE</w:t>
      </w:r>
      <w:r w:rsidRPr="00EB11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”.</w:t>
      </w:r>
    </w:p>
    <w:p w:rsidR="007D0BD2" w:rsidRDefault="007D0BD2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</w:t>
      </w:r>
      <w:r w:rsidRPr="00170E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AMM - ASSOCIAÇÃO MATOGROSSESE DOS MUNICIPIOS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CNPJ 00.234.260/0001-21, com sede na Avenida Historiador Rubens de Mendonça N° 3.920, Bosque da Saúde, CEP: 78.055-000, neste ato denominado simplesmente AMM ou Vendedor, torna público para conhecimento dos interessados, que em data, horário e </w:t>
      </w:r>
      <w:r w:rsidR="009466DD"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>local mencionado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através do Leiloeiro nomeado </w:t>
      </w:r>
      <w:r w:rsidRPr="00170E35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Fábio Albuquerque da Silva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devidamente nomeado e autorizado, realizará a presente licitação na modalidade de leilão público, a fim de receber lances, para a venda dos bens disponibilizados e relacionado no Anexo l do presente Edital. 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presente leilão realizar-se-á com estrita observância do princípio da Licitação, nos termos da Lei N° 8.666/93 de 21/06/93, Lei N°.8.883/94 de 08/06/94, Decreto n° 21.981/32, e suas alterações, pelo presente Edital e demais legislações aplicáveis, sendo que os documentos expedidos pelo </w:t>
      </w:r>
      <w:proofErr w:type="gramStart"/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>Leiloeiro  são</w:t>
      </w:r>
      <w:proofErr w:type="gramEnd"/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70E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revestidos de Fé Pública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para os seus devidos fins e efeitos.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Edital completo se encontra a disposição dos interessados, e a descrição dos bens  para apreciação e meramente de caráter de divulgação no site : </w:t>
      </w:r>
      <w:hyperlink r:id="rId8" w:history="1">
        <w:r w:rsidR="009466DD" w:rsidRPr="00E27605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www.amm.org.br/portaltransparencia</w:t>
        </w:r>
      </w:hyperlink>
      <w:r w:rsidR="009466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informações AMM  (65) 2123-1230.</w:t>
      </w:r>
    </w:p>
    <w:p w:rsidR="00E63A6A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 leilão será realizado na sede da AMM</w:t>
      </w:r>
      <w:r w:rsidR="00337926"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D0D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no dia </w:t>
      </w:r>
      <w:r w:rsidR="002255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05</w:t>
      </w:r>
      <w:r w:rsidR="00337926"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</w:t>
      </w:r>
      <w:proofErr w:type="gramStart"/>
      <w:r w:rsidR="002255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Abril</w:t>
      </w:r>
      <w:proofErr w:type="gramEnd"/>
      <w:r w:rsidR="00337926"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201</w:t>
      </w:r>
      <w:r w:rsidR="003E5A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4697E"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ás 09</w:t>
      </w:r>
      <w:r w:rsid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34697E" w:rsidRPr="00346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00 horário de Cuiabá</w:t>
      </w:r>
      <w:r w:rsidR="0034697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os interessados deverão realizar suas visitas e vistorias aos bens disponibilizados para o leilão a partir do dia </w:t>
      </w:r>
      <w:r w:rsidR="000027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bookmarkStart w:id="0" w:name="_GoBack"/>
      <w:bookmarkEnd w:id="0"/>
      <w:r w:rsidR="00E63A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</w:t>
      </w:r>
      <w:r w:rsidR="003E5A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="00E63A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</w:t>
      </w:r>
      <w:r w:rsidR="003E5A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horário das 08:00 ao 12:00 horas e das 13:30 às 17:30 horas</w:t>
      </w:r>
      <w:r w:rsidR="00E63A6A">
        <w:rPr>
          <w:rFonts w:ascii="Times New Roman" w:eastAsia="Calibri" w:hAnsi="Times New Roman" w:cs="Times New Roman"/>
          <w:sz w:val="24"/>
          <w:szCs w:val="24"/>
          <w:lang w:eastAsia="en-US"/>
        </w:rPr>
        <w:t>, na sede da AMM, com endereço definido neste preambulo</w:t>
      </w:r>
      <w:r w:rsidRPr="00170E3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63A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 xml:space="preserve">01 –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CONDIÇÕES DE PARTICIPAÇÃO – habilitação, lances e pagamento.</w:t>
      </w:r>
    </w:p>
    <w:p w:rsidR="00170E35" w:rsidRPr="00170E35" w:rsidRDefault="00170E35" w:rsidP="00170E3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DA HABILITAÇÃO: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Poderão participar e oferecer lances no leilão os licitantes que se habilitarem, pessoas físicas ou jurídicas, portadoras dos originais de RG e CPF; se empresa, cópia de Contrato Social e cartão do CNPJ; e se representante, Procuração objetiva passada por Cartório. Não podem participar funcionários e servidores da </w:t>
      </w:r>
      <w:r w:rsidR="007D0BD2">
        <w:rPr>
          <w:rFonts w:ascii="Times New Roman" w:eastAsia="Calibri" w:hAnsi="Times New Roman" w:cs="Times New Roman"/>
          <w:lang w:eastAsia="en-US"/>
        </w:rPr>
        <w:t>AMM</w:t>
      </w:r>
      <w:r w:rsidRPr="00170E35">
        <w:rPr>
          <w:rFonts w:ascii="Times New Roman" w:eastAsia="Calibri" w:hAnsi="Times New Roman" w:cs="Times New Roman"/>
          <w:lang w:eastAsia="en-US"/>
        </w:rPr>
        <w:t>/Vendedor.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 xml:space="preserve">1.2.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DOS LANCES: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>1.2.1. Os lances começam com o valor da avaliação do be</w:t>
      </w:r>
      <w:r w:rsidR="007D0BD2">
        <w:rPr>
          <w:rFonts w:ascii="Times New Roman" w:eastAsia="Calibri" w:hAnsi="Times New Roman" w:cs="Times New Roman"/>
          <w:lang w:eastAsia="en-US"/>
        </w:rPr>
        <w:t>m</w:t>
      </w:r>
      <w:r w:rsidRPr="00170E35">
        <w:rPr>
          <w:rFonts w:ascii="Times New Roman" w:eastAsia="Calibri" w:hAnsi="Times New Roman" w:cs="Times New Roman"/>
          <w:lang w:eastAsia="en-US"/>
        </w:rPr>
        <w:t>, sendo somente presenciais e ve</w:t>
      </w:r>
      <w:r w:rsidR="0000271D">
        <w:rPr>
          <w:rFonts w:ascii="Times New Roman" w:eastAsia="Calibri" w:hAnsi="Times New Roman" w:cs="Times New Roman"/>
          <w:lang w:eastAsia="en-US"/>
        </w:rPr>
        <w:t xml:space="preserve">rbais, </w:t>
      </w:r>
      <w:r w:rsidRPr="00170E35">
        <w:rPr>
          <w:rFonts w:ascii="Times New Roman" w:eastAsia="Calibri" w:hAnsi="Times New Roman" w:cs="Times New Roman"/>
          <w:lang w:eastAsia="en-US"/>
        </w:rPr>
        <w:t>sendo declarado vencedor na batida do martelo pelo leiloeiro o licitante habilitado que maior preço oferecer.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>1.2.2. As vendas serão efetuadas somente com lances para pagamento exclusivamente À VISTA.</w:t>
      </w:r>
      <w:r w:rsidRPr="00170E35">
        <w:rPr>
          <w:rFonts w:ascii="Times New Roman" w:eastAsia="Calibri" w:hAnsi="Times New Roman" w:cs="Times New Roman"/>
          <w:lang w:eastAsia="en-US"/>
        </w:rPr>
        <w:t xml:space="preserve"> 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1.2.3. Havendo incidência do ICMS ou outros ônus, </w:t>
      </w:r>
      <w:r w:rsidR="007D0BD2">
        <w:rPr>
          <w:rFonts w:ascii="Times New Roman" w:eastAsia="Calibri" w:hAnsi="Times New Roman" w:cs="Times New Roman"/>
          <w:lang w:eastAsia="en-US"/>
        </w:rPr>
        <w:t xml:space="preserve">estes </w:t>
      </w:r>
      <w:r w:rsidRPr="00170E35">
        <w:rPr>
          <w:rFonts w:ascii="Times New Roman" w:eastAsia="Calibri" w:hAnsi="Times New Roman" w:cs="Times New Roman"/>
          <w:lang w:eastAsia="en-US"/>
        </w:rPr>
        <w:t>serão por conta e suportados pelo arrematante.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 xml:space="preserve">1.3.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DO PAGAMENTO: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1.3.1. O pagamento e acerto de contas poderá ser realizado em até cinco dias úteis após </w:t>
      </w:r>
      <w:proofErr w:type="gramStart"/>
      <w:r w:rsidRPr="00170E35">
        <w:rPr>
          <w:rFonts w:ascii="Times New Roman" w:eastAsia="Calibri" w:hAnsi="Times New Roman" w:cs="Times New Roman"/>
          <w:lang w:eastAsia="en-US"/>
        </w:rPr>
        <w:t>arrematação,  com</w:t>
      </w:r>
      <w:proofErr w:type="gramEnd"/>
      <w:r w:rsidRPr="00170E35">
        <w:rPr>
          <w:rFonts w:ascii="Times New Roman" w:eastAsia="Calibri" w:hAnsi="Times New Roman" w:cs="Times New Roman"/>
          <w:lang w:eastAsia="en-US"/>
        </w:rPr>
        <w:t xml:space="preserve"> dinheiro via TED, DOC, transferência ou depositado, bem como em cheque. No caso de pagamento em cheque, o </w:t>
      </w:r>
      <w:r w:rsidR="007D0BD2">
        <w:rPr>
          <w:rFonts w:ascii="Times New Roman" w:eastAsia="Calibri" w:hAnsi="Times New Roman" w:cs="Times New Roman"/>
          <w:lang w:eastAsia="en-US"/>
        </w:rPr>
        <w:t>bem</w:t>
      </w:r>
      <w:r w:rsidRPr="00170E35">
        <w:rPr>
          <w:rFonts w:ascii="Times New Roman" w:eastAsia="Calibri" w:hAnsi="Times New Roman" w:cs="Times New Roman"/>
          <w:lang w:eastAsia="en-US"/>
        </w:rPr>
        <w:t xml:space="preserve"> adquirido só será liberado pelo Vendedor e/ou Leiloeiro após a compensação.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1.3.2. O leilão é uma operação liquida e certa onde o licitante habilitado participa de livre e </w:t>
      </w:r>
      <w:r w:rsidR="003E5A85" w:rsidRPr="00170E35">
        <w:rPr>
          <w:rFonts w:ascii="Times New Roman" w:eastAsia="Calibri" w:hAnsi="Times New Roman" w:cs="Times New Roman"/>
          <w:lang w:eastAsia="en-US"/>
        </w:rPr>
        <w:t>espontânea vontade</w:t>
      </w:r>
      <w:r w:rsidRPr="00170E35">
        <w:rPr>
          <w:rFonts w:ascii="Times New Roman" w:eastAsia="Calibri" w:hAnsi="Times New Roman" w:cs="Times New Roman"/>
          <w:lang w:eastAsia="en-US"/>
        </w:rPr>
        <w:t xml:space="preserve">, e a desistência, a frustração do caráter competitivo, o não pagamento, a devolução, sustação ou bloqueio do cheque </w:t>
      </w:r>
      <w:r w:rsidR="003E5A85" w:rsidRPr="00170E35">
        <w:rPr>
          <w:rFonts w:ascii="Times New Roman" w:eastAsia="Calibri" w:hAnsi="Times New Roman" w:cs="Times New Roman"/>
          <w:lang w:eastAsia="en-US"/>
        </w:rPr>
        <w:t>dado para</w:t>
      </w:r>
      <w:r w:rsidRPr="00170E35">
        <w:rPr>
          <w:rFonts w:ascii="Times New Roman" w:eastAsia="Calibri" w:hAnsi="Times New Roman" w:cs="Times New Roman"/>
          <w:lang w:eastAsia="en-US"/>
        </w:rPr>
        <w:t xml:space="preserve"> liquidação e pagamento, configura fraude, dolo e prejuízo aos cofres públicos e ao Leiloeiro, e em ocorrendo, será registrado BO Policial.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 xml:space="preserve">02 –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 xml:space="preserve">DOS </w:t>
      </w:r>
      <w:proofErr w:type="gramStart"/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BE</w:t>
      </w:r>
      <w:r w:rsidR="004331FC">
        <w:rPr>
          <w:rFonts w:ascii="Times New Roman" w:eastAsia="Calibri" w:hAnsi="Times New Roman" w:cs="Times New Roman"/>
          <w:b/>
          <w:u w:val="single"/>
          <w:lang w:eastAsia="en-US"/>
        </w:rPr>
        <w:t xml:space="preserve">M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 xml:space="preserve"> MÓVE</w:t>
      </w:r>
      <w:r w:rsidR="004331FC">
        <w:rPr>
          <w:rFonts w:ascii="Times New Roman" w:eastAsia="Calibri" w:hAnsi="Times New Roman" w:cs="Times New Roman"/>
          <w:b/>
          <w:u w:val="single"/>
          <w:lang w:eastAsia="en-US"/>
        </w:rPr>
        <w:t>L</w:t>
      </w:r>
      <w:proofErr w:type="gramEnd"/>
      <w:r w:rsidR="004331FC">
        <w:rPr>
          <w:rFonts w:ascii="Times New Roman" w:eastAsia="Calibri" w:hAnsi="Times New Roman" w:cs="Times New Roman"/>
          <w:b/>
          <w:u w:val="single"/>
          <w:lang w:eastAsia="en-US"/>
        </w:rPr>
        <w:t xml:space="preserve">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 xml:space="preserve"> E DA TRANSFERÊNCIA: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2.1. </w:t>
      </w:r>
      <w:r w:rsidR="004331FC">
        <w:rPr>
          <w:rFonts w:ascii="Times New Roman" w:eastAsia="Calibri" w:hAnsi="Times New Roman" w:cs="Times New Roman"/>
          <w:b/>
          <w:lang w:eastAsia="en-US"/>
        </w:rPr>
        <w:t>O</w:t>
      </w:r>
      <w:r w:rsidRPr="00170E35">
        <w:rPr>
          <w:rFonts w:ascii="Times New Roman" w:eastAsia="Calibri" w:hAnsi="Times New Roman" w:cs="Times New Roman"/>
          <w:b/>
          <w:lang w:eastAsia="en-US"/>
        </w:rPr>
        <w:t xml:space="preserve"> be</w:t>
      </w:r>
      <w:r w:rsidR="004331FC">
        <w:rPr>
          <w:rFonts w:ascii="Times New Roman" w:eastAsia="Calibri" w:hAnsi="Times New Roman" w:cs="Times New Roman"/>
          <w:b/>
          <w:lang w:eastAsia="en-US"/>
        </w:rPr>
        <w:t>m</w:t>
      </w:r>
      <w:r w:rsidRPr="00170E35">
        <w:rPr>
          <w:rFonts w:ascii="Times New Roman" w:eastAsia="Calibri" w:hAnsi="Times New Roman" w:cs="Times New Roman"/>
          <w:b/>
          <w:lang w:eastAsia="en-US"/>
        </w:rPr>
        <w:t xml:space="preserve"> ser</w:t>
      </w:r>
      <w:r w:rsidR="00E63A6A">
        <w:rPr>
          <w:rFonts w:ascii="Times New Roman" w:eastAsia="Calibri" w:hAnsi="Times New Roman" w:cs="Times New Roman"/>
          <w:b/>
          <w:lang w:eastAsia="en-US"/>
        </w:rPr>
        <w:t>á</w:t>
      </w:r>
      <w:r w:rsidRPr="00170E35">
        <w:rPr>
          <w:rFonts w:ascii="Times New Roman" w:eastAsia="Calibri" w:hAnsi="Times New Roman" w:cs="Times New Roman"/>
          <w:b/>
          <w:lang w:eastAsia="en-US"/>
        </w:rPr>
        <w:t xml:space="preserve"> vendido no estado em que se encontra quando de sua exposição.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2.2. O licitante deverá se certificar das características e circunstâncias que envolvem </w:t>
      </w:r>
      <w:proofErr w:type="gramStart"/>
      <w:r w:rsidRPr="00170E35">
        <w:rPr>
          <w:rFonts w:ascii="Times New Roman" w:eastAsia="Calibri" w:hAnsi="Times New Roman" w:cs="Times New Roman"/>
          <w:lang w:eastAsia="en-US"/>
        </w:rPr>
        <w:t>os be</w:t>
      </w:r>
      <w:r w:rsidR="004331FC">
        <w:rPr>
          <w:rFonts w:ascii="Times New Roman" w:eastAsia="Calibri" w:hAnsi="Times New Roman" w:cs="Times New Roman"/>
          <w:lang w:eastAsia="en-US"/>
        </w:rPr>
        <w:t>m</w:t>
      </w:r>
      <w:r w:rsidRPr="00170E35">
        <w:rPr>
          <w:rFonts w:ascii="Times New Roman" w:eastAsia="Calibri" w:hAnsi="Times New Roman" w:cs="Times New Roman"/>
          <w:lang w:eastAsia="en-US"/>
        </w:rPr>
        <w:t xml:space="preserve"> descrito</w:t>
      </w:r>
      <w:proofErr w:type="gramEnd"/>
      <w:r w:rsidRPr="00170E35">
        <w:rPr>
          <w:rFonts w:ascii="Times New Roman" w:eastAsia="Calibri" w:hAnsi="Times New Roman" w:cs="Times New Roman"/>
          <w:lang w:eastAsia="en-US"/>
        </w:rPr>
        <w:t xml:space="preserve"> no Anexo I, inclusive, ano</w:t>
      </w:r>
      <w:r w:rsidR="00E63A6A">
        <w:rPr>
          <w:rFonts w:ascii="Times New Roman" w:eastAsia="Calibri" w:hAnsi="Times New Roman" w:cs="Times New Roman"/>
          <w:lang w:eastAsia="en-US"/>
        </w:rPr>
        <w:t>,</w:t>
      </w:r>
      <w:r w:rsidRPr="00170E35">
        <w:rPr>
          <w:rFonts w:ascii="Times New Roman" w:eastAsia="Calibri" w:hAnsi="Times New Roman" w:cs="Times New Roman"/>
          <w:lang w:eastAsia="en-US"/>
        </w:rPr>
        <w:t xml:space="preserve"> número de motor e chassis, número de série e outros detalhes, não podendo alegar desconhecimento das condições e estado físico ou de conservação do </w:t>
      </w:r>
      <w:r w:rsidR="004331FC">
        <w:rPr>
          <w:rFonts w:ascii="Times New Roman" w:eastAsia="Calibri" w:hAnsi="Times New Roman" w:cs="Times New Roman"/>
          <w:lang w:eastAsia="en-US"/>
        </w:rPr>
        <w:t>bem</w:t>
      </w:r>
      <w:r w:rsidRPr="00170E35">
        <w:rPr>
          <w:rFonts w:ascii="Times New Roman" w:eastAsia="Calibri" w:hAnsi="Times New Roman" w:cs="Times New Roman"/>
          <w:lang w:eastAsia="en-US"/>
        </w:rPr>
        <w:t xml:space="preserve"> ofertado e adquirido por livre e espontânea vontade, dos prazos para transferência e registro, das possíveis restrições ou obrigações impostas por leis vigentes.</w:t>
      </w:r>
    </w:p>
    <w:p w:rsidR="00170E35" w:rsidRPr="00E63A6A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E63A6A">
        <w:rPr>
          <w:rFonts w:ascii="Times New Roman" w:eastAsia="Calibri" w:hAnsi="Times New Roman" w:cs="Times New Roman"/>
          <w:lang w:eastAsia="en-US"/>
        </w:rPr>
        <w:t>2.2.1. Havendo necessidade de remarcação de chassis e motor, esta operação será por conta e risco do Arrematante.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>2.3. As visitas “in loco” ao be</w:t>
      </w:r>
      <w:r w:rsidR="004331FC">
        <w:rPr>
          <w:rFonts w:ascii="Times New Roman" w:eastAsia="Calibri" w:hAnsi="Times New Roman" w:cs="Times New Roman"/>
          <w:lang w:eastAsia="en-US"/>
        </w:rPr>
        <w:t>m</w:t>
      </w:r>
      <w:r w:rsidRPr="00170E35">
        <w:rPr>
          <w:rFonts w:ascii="Times New Roman" w:eastAsia="Calibri" w:hAnsi="Times New Roman" w:cs="Times New Roman"/>
          <w:lang w:eastAsia="en-US"/>
        </w:rPr>
        <w:t xml:space="preserve"> disponibilizado para leilão, vistorias, levantamentos, consultas, deverão ser realizadas com antecedência e estão liberadas a exclusiva vontade e decisão dos interessados, não cabendo após a arrematação, reclamações, arrependimentos, indenizações ou quaisquer outros procedimentos não previstos neste Edital.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2.4. Será de responsabilidade do Arrematante as providências de retirada do </w:t>
      </w:r>
      <w:r w:rsidR="004331FC">
        <w:rPr>
          <w:rFonts w:ascii="Times New Roman" w:eastAsia="Calibri" w:hAnsi="Times New Roman" w:cs="Times New Roman"/>
          <w:lang w:eastAsia="en-US"/>
        </w:rPr>
        <w:t>bem</w:t>
      </w:r>
      <w:r w:rsidRPr="00170E35">
        <w:rPr>
          <w:rFonts w:ascii="Times New Roman" w:eastAsia="Calibri" w:hAnsi="Times New Roman" w:cs="Times New Roman"/>
          <w:lang w:eastAsia="en-US"/>
        </w:rPr>
        <w:t xml:space="preserve"> adquirido do local onde se encontra</w:t>
      </w:r>
      <w:r w:rsidR="004331FC">
        <w:rPr>
          <w:rFonts w:ascii="Times New Roman" w:eastAsia="Calibri" w:hAnsi="Times New Roman" w:cs="Times New Roman"/>
          <w:lang w:eastAsia="en-US"/>
        </w:rPr>
        <w:t xml:space="preserve">, </w:t>
      </w:r>
      <w:r w:rsidRPr="00170E35">
        <w:rPr>
          <w:rFonts w:ascii="Times New Roman" w:eastAsia="Calibri" w:hAnsi="Times New Roman" w:cs="Times New Roman"/>
          <w:lang w:eastAsia="en-US"/>
        </w:rPr>
        <w:t xml:space="preserve">consertos, remoção, fretes, despesas tradicionais como transferência e/ou regularização de documentos, impostos </w:t>
      </w:r>
      <w:proofErr w:type="spellStart"/>
      <w:r w:rsidRPr="00170E35">
        <w:rPr>
          <w:rFonts w:ascii="Times New Roman" w:eastAsia="Calibri" w:hAnsi="Times New Roman" w:cs="Times New Roman"/>
          <w:lang w:eastAsia="en-US"/>
        </w:rPr>
        <w:t>etc</w:t>
      </w:r>
      <w:proofErr w:type="spellEnd"/>
      <w:r w:rsidRPr="00170E35">
        <w:rPr>
          <w:rFonts w:ascii="Times New Roman" w:eastAsia="Calibri" w:hAnsi="Times New Roman" w:cs="Times New Roman"/>
          <w:lang w:eastAsia="en-US"/>
        </w:rPr>
        <w:t xml:space="preserve"> e todos os atos e ações decorrentes para efetivação da propriedade em seu nome, bem como, demais custos oriundos.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2.5. Os arrematantes </w:t>
      </w:r>
      <w:r w:rsidR="003E5A85" w:rsidRPr="00170E35">
        <w:rPr>
          <w:rFonts w:ascii="Times New Roman" w:eastAsia="Calibri" w:hAnsi="Times New Roman" w:cs="Times New Roman"/>
          <w:lang w:eastAsia="en-US"/>
        </w:rPr>
        <w:t>d</w:t>
      </w:r>
      <w:r w:rsidR="003E5A85">
        <w:rPr>
          <w:rFonts w:ascii="Times New Roman" w:eastAsia="Calibri" w:hAnsi="Times New Roman" w:cs="Times New Roman"/>
          <w:lang w:eastAsia="en-US"/>
        </w:rPr>
        <w:t>o</w:t>
      </w:r>
      <w:r w:rsidR="003E5A85" w:rsidRPr="00170E35">
        <w:rPr>
          <w:rFonts w:ascii="Times New Roman" w:eastAsia="Calibri" w:hAnsi="Times New Roman" w:cs="Times New Roman"/>
          <w:lang w:eastAsia="en-US"/>
        </w:rPr>
        <w:t xml:space="preserve"> veículo</w:t>
      </w:r>
      <w:r w:rsidRPr="00170E35">
        <w:rPr>
          <w:rFonts w:ascii="Times New Roman" w:eastAsia="Calibri" w:hAnsi="Times New Roman" w:cs="Times New Roman"/>
          <w:lang w:eastAsia="en-US"/>
        </w:rPr>
        <w:t xml:space="preserve"> terão o prazo máximo de 60 (sessenta) dias, a contar da data do leilão, para realizar e fazer a vistoria obrigatória no Detran e efetivar a transferência de propriedade junto ao órgão.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2.5.1. O Vendedor fará o comunicado DCE venda ao Detran e entregará o certificado de Registro de Veículo – Autorização para transferência, devidamente datado e preenchido em nome do arrematante ou na forma necessária para </w:t>
      </w:r>
      <w:r w:rsidRPr="00170E35">
        <w:rPr>
          <w:rFonts w:ascii="Times New Roman" w:eastAsia="Calibri" w:hAnsi="Times New Roman" w:cs="Times New Roman"/>
          <w:lang w:eastAsia="en-US"/>
        </w:rPr>
        <w:lastRenderedPageBreak/>
        <w:t>efetivar o compromisso. O arrematante assume o compromisso de não circular com o veículo antes da consolidada transferência de propriedade.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2.5.2. Vencido o prazo concedido para transferência no item 2.5. </w:t>
      </w:r>
      <w:proofErr w:type="gramStart"/>
      <w:r w:rsidRPr="00170E35">
        <w:rPr>
          <w:rFonts w:ascii="Times New Roman" w:eastAsia="Calibri" w:hAnsi="Times New Roman" w:cs="Times New Roman"/>
          <w:lang w:eastAsia="en-US"/>
        </w:rPr>
        <w:t>o</w:t>
      </w:r>
      <w:proofErr w:type="gramEnd"/>
      <w:r w:rsidRPr="00170E35">
        <w:rPr>
          <w:rFonts w:ascii="Times New Roman" w:eastAsia="Calibri" w:hAnsi="Times New Roman" w:cs="Times New Roman"/>
          <w:lang w:eastAsia="en-US"/>
        </w:rPr>
        <w:t xml:space="preserve"> arrematante autoriza desde já a busca e apreensão judicial do veículo que ficará depositado no local onde se realizou o leilão até a consolidação da obrigação.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>2.5.3. O arrematante responde civil e criminalmente por danos que vier a causa em face do não cumprimento dos termos deste Edital.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>2.6. O Leiloeiro Oficial é consignatário ou mandatário para operacionalizar, preparar e realizar o leilão, não tendo autoridade, responsabilidade e nem respondendo pela transferência de propriedade, documentos ou atos equivalentes, bem como, por quaisquer falta, falha ou omissão do Vendedor pós venda em leilão.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 xml:space="preserve">03 –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DISPOSIÇÕES GERAIS: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70E35">
        <w:rPr>
          <w:rFonts w:ascii="Times New Roman" w:eastAsia="Calibri" w:hAnsi="Times New Roman" w:cs="Times New Roman"/>
          <w:lang w:eastAsia="en-US"/>
        </w:rPr>
        <w:t xml:space="preserve">3.1 </w:t>
      </w:r>
      <w:r w:rsidR="003E5A85" w:rsidRPr="00170E35">
        <w:rPr>
          <w:rFonts w:ascii="Times New Roman" w:eastAsia="Calibri" w:hAnsi="Times New Roman" w:cs="Times New Roman"/>
          <w:lang w:eastAsia="en-US"/>
        </w:rPr>
        <w:t>É</w:t>
      </w:r>
      <w:proofErr w:type="gramEnd"/>
      <w:r w:rsidR="003E5A85" w:rsidRPr="00170E35">
        <w:rPr>
          <w:rFonts w:ascii="Times New Roman" w:eastAsia="Calibri" w:hAnsi="Times New Roman" w:cs="Times New Roman"/>
          <w:lang w:eastAsia="en-US"/>
        </w:rPr>
        <w:t xml:space="preserve"> vedado</w:t>
      </w:r>
      <w:r w:rsidRPr="00170E35">
        <w:rPr>
          <w:rFonts w:ascii="Times New Roman" w:eastAsia="Calibri" w:hAnsi="Times New Roman" w:cs="Times New Roman"/>
          <w:lang w:eastAsia="en-US"/>
        </w:rPr>
        <w:t xml:space="preserve"> ao Arrematante ceder, permutar, vender, penhorar, dar em garantia, ou de qualquer outra forma, negociar os be</w:t>
      </w:r>
      <w:r w:rsidR="004331FC">
        <w:rPr>
          <w:rFonts w:ascii="Times New Roman" w:eastAsia="Calibri" w:hAnsi="Times New Roman" w:cs="Times New Roman"/>
          <w:lang w:eastAsia="en-US"/>
        </w:rPr>
        <w:t>m</w:t>
      </w:r>
      <w:r w:rsidRPr="00170E35">
        <w:rPr>
          <w:rFonts w:ascii="Times New Roman" w:eastAsia="Calibri" w:hAnsi="Times New Roman" w:cs="Times New Roman"/>
          <w:lang w:eastAsia="en-US"/>
        </w:rPr>
        <w:t xml:space="preserve"> adquirido antes do acerto de contas, pagamento total da arrematação e transferência de propriedade.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70E35">
        <w:rPr>
          <w:rFonts w:ascii="Times New Roman" w:eastAsia="Calibri" w:hAnsi="Times New Roman" w:cs="Times New Roman"/>
          <w:lang w:eastAsia="en-US"/>
        </w:rPr>
        <w:t xml:space="preserve">3.2 </w:t>
      </w:r>
      <w:r w:rsidR="004331FC">
        <w:rPr>
          <w:rFonts w:ascii="Times New Roman" w:eastAsia="Calibri" w:hAnsi="Times New Roman" w:cs="Times New Roman"/>
          <w:lang w:eastAsia="en-US"/>
        </w:rPr>
        <w:t xml:space="preserve"> </w:t>
      </w:r>
      <w:r w:rsidRPr="00170E35">
        <w:rPr>
          <w:rFonts w:ascii="Times New Roman" w:eastAsia="Calibri" w:hAnsi="Times New Roman" w:cs="Times New Roman"/>
          <w:lang w:eastAsia="en-US"/>
        </w:rPr>
        <w:t>Fica</w:t>
      </w:r>
      <w:proofErr w:type="gramEnd"/>
      <w:r w:rsidRPr="00170E35">
        <w:rPr>
          <w:rFonts w:ascii="Times New Roman" w:eastAsia="Calibri" w:hAnsi="Times New Roman" w:cs="Times New Roman"/>
          <w:lang w:eastAsia="en-US"/>
        </w:rPr>
        <w:t xml:space="preserve"> sob a inteira responsabilidade do Arrematante a retirada dos be</w:t>
      </w:r>
      <w:r w:rsidR="004331FC">
        <w:rPr>
          <w:rFonts w:ascii="Times New Roman" w:eastAsia="Calibri" w:hAnsi="Times New Roman" w:cs="Times New Roman"/>
          <w:lang w:eastAsia="en-US"/>
        </w:rPr>
        <w:t>m</w:t>
      </w:r>
      <w:r w:rsidRPr="00170E35">
        <w:rPr>
          <w:rFonts w:ascii="Times New Roman" w:eastAsia="Calibri" w:hAnsi="Times New Roman" w:cs="Times New Roman"/>
          <w:lang w:eastAsia="en-US"/>
        </w:rPr>
        <w:t xml:space="preserve"> móve</w:t>
      </w:r>
      <w:r w:rsidR="004331FC">
        <w:rPr>
          <w:rFonts w:ascii="Times New Roman" w:eastAsia="Calibri" w:hAnsi="Times New Roman" w:cs="Times New Roman"/>
          <w:lang w:eastAsia="en-US"/>
        </w:rPr>
        <w:t>l</w:t>
      </w:r>
      <w:r w:rsidRPr="00170E35">
        <w:rPr>
          <w:rFonts w:ascii="Times New Roman" w:eastAsia="Calibri" w:hAnsi="Times New Roman" w:cs="Times New Roman"/>
          <w:lang w:eastAsia="en-US"/>
        </w:rPr>
        <w:t xml:space="preserve"> no prazo máximo de 05(cinco) dias úteis após a confirmação do pagamento da arrematação, observados os demais requisitos previstos neste edital. Após esse prazo será cobrado taxa de depósito a base de R$ 10,00 (dez reais) por dia.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70E35">
        <w:rPr>
          <w:rFonts w:ascii="Times New Roman" w:eastAsia="Calibri" w:hAnsi="Times New Roman" w:cs="Times New Roman"/>
          <w:lang w:eastAsia="en-US"/>
        </w:rPr>
        <w:t>3.3 Após</w:t>
      </w:r>
      <w:proofErr w:type="gramEnd"/>
      <w:r w:rsidRPr="00170E35">
        <w:rPr>
          <w:rFonts w:ascii="Times New Roman" w:eastAsia="Calibri" w:hAnsi="Times New Roman" w:cs="Times New Roman"/>
          <w:lang w:eastAsia="en-US"/>
        </w:rPr>
        <w:t xml:space="preserve"> decorridos 30 (trinta) dias sem providência de retirada do bem, o lote retoma ao patrimônio do Vendedor, independentemente de aviso ou notificação, perdendo o Arrematante as quantias pagas, a qual não caberá recursos.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 xml:space="preserve">04 – </w:t>
      </w:r>
      <w:r w:rsidRPr="00170E35">
        <w:rPr>
          <w:rFonts w:ascii="Times New Roman" w:eastAsia="Calibri" w:hAnsi="Times New Roman" w:cs="Times New Roman"/>
          <w:b/>
          <w:u w:val="single"/>
          <w:lang w:eastAsia="en-US"/>
        </w:rPr>
        <w:t>DISPOSIÇÕES FINAIS:</w:t>
      </w:r>
    </w:p>
    <w:p w:rsidR="00170E35" w:rsidRPr="00BD45E7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BD45E7">
        <w:rPr>
          <w:rFonts w:ascii="Times New Roman" w:eastAsia="Calibri" w:hAnsi="Times New Roman" w:cs="Times New Roman"/>
          <w:lang w:eastAsia="en-US"/>
        </w:rPr>
        <w:t>4.1 O Vendedor se reserva o direito de vincular a venda a sua aprovação ou não, fazer alterações, colocar lotes, de retirar no todos ou em parte, desdobrar, agrupar ou reunir bens em lotes a seu exclusivo critério, anular a arrematação em face da necessidade ou relevante interesse da administração, no momento ou após o leilão, sem que caiba qualquer reclamação ou indenização.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4.2. O </w:t>
      </w:r>
      <w:r w:rsidR="003E5A85" w:rsidRPr="00170E35">
        <w:rPr>
          <w:rFonts w:ascii="Times New Roman" w:eastAsia="Calibri" w:hAnsi="Times New Roman" w:cs="Times New Roman"/>
          <w:lang w:eastAsia="en-US"/>
        </w:rPr>
        <w:t>Leiloeiro Oficial</w:t>
      </w:r>
      <w:r w:rsidRPr="00170E35">
        <w:rPr>
          <w:rFonts w:ascii="Times New Roman" w:eastAsia="Calibri" w:hAnsi="Times New Roman" w:cs="Times New Roman"/>
          <w:lang w:eastAsia="en-US"/>
        </w:rPr>
        <w:t xml:space="preserve"> está apto e autorizado a introduzir modificações, proceder alterações, fazer correções de eventuais erros ou omissões e demais atos necessários a correção, transparência e ao aperfeiçoamento do presente leilão.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 w:rsidRPr="00170E35">
        <w:rPr>
          <w:rFonts w:ascii="Times New Roman" w:eastAsia="Calibri" w:hAnsi="Times New Roman" w:cs="Times New Roman"/>
          <w:lang w:eastAsia="en-US"/>
        </w:rPr>
        <w:t xml:space="preserve">4.3. Encerrado o leilão, o Leiloeiro lavrará e assinará a ATA circunstanciada com os registros indispensáveis, </w:t>
      </w:r>
      <w:r w:rsidR="004331FC">
        <w:rPr>
          <w:rFonts w:ascii="Times New Roman" w:eastAsia="Calibri" w:hAnsi="Times New Roman" w:cs="Times New Roman"/>
          <w:lang w:eastAsia="en-US"/>
        </w:rPr>
        <w:t>o bem relacionado</w:t>
      </w:r>
      <w:r w:rsidRPr="00170E35">
        <w:rPr>
          <w:rFonts w:ascii="Times New Roman" w:eastAsia="Calibri" w:hAnsi="Times New Roman" w:cs="Times New Roman"/>
          <w:lang w:eastAsia="en-US"/>
        </w:rPr>
        <w:t>, avaliação e valor de venda e respectivos Arrematantes, contendo também os acontecimentos e fatos relevantes. Qualquer alteração posterior a emissão da Ata deverá ser efetuada mediante Certidão aditiva do Leiloeiro.</w:t>
      </w:r>
    </w:p>
    <w:p w:rsidR="00170E35" w:rsidRPr="00170E35" w:rsidRDefault="003E5A85" w:rsidP="00170E35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4.4</w:t>
      </w:r>
      <w:r w:rsidR="00170E35" w:rsidRPr="00170E35">
        <w:rPr>
          <w:rFonts w:ascii="Times New Roman" w:eastAsia="Calibri" w:hAnsi="Times New Roman" w:cs="Times New Roman"/>
          <w:lang w:eastAsia="en-US"/>
        </w:rPr>
        <w:t xml:space="preserve">. Fica eleito o fórum da Comarca de </w:t>
      </w:r>
      <w:r w:rsidR="004331FC">
        <w:rPr>
          <w:rFonts w:ascii="Times New Roman" w:eastAsia="Calibri" w:hAnsi="Times New Roman" w:cs="Times New Roman"/>
          <w:lang w:eastAsia="en-US"/>
        </w:rPr>
        <w:t>Cuiabá</w:t>
      </w:r>
      <w:r w:rsidR="00170E35" w:rsidRPr="00170E35">
        <w:rPr>
          <w:rFonts w:ascii="Times New Roman" w:eastAsia="Calibri" w:hAnsi="Times New Roman" w:cs="Times New Roman"/>
          <w:lang w:eastAsia="en-US"/>
        </w:rPr>
        <w:t xml:space="preserve">-MT, renunciando a qualquer outro. </w:t>
      </w: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70E35" w:rsidRPr="00170E35" w:rsidRDefault="00170E35" w:rsidP="00170E35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>GABINETE DO EXCELENTÍSSIMO SENHOR PRE</w:t>
      </w:r>
      <w:r w:rsidR="009B7A6A">
        <w:rPr>
          <w:rFonts w:ascii="Times New Roman" w:eastAsia="Calibri" w:hAnsi="Times New Roman" w:cs="Times New Roman"/>
          <w:b/>
          <w:lang w:eastAsia="en-US"/>
        </w:rPr>
        <w:t>SIDENTE DA AMM</w:t>
      </w:r>
      <w:r w:rsidRPr="00170E35">
        <w:rPr>
          <w:rFonts w:ascii="Times New Roman" w:eastAsia="Calibri" w:hAnsi="Times New Roman" w:cs="Times New Roman"/>
          <w:b/>
          <w:lang w:eastAsia="en-US"/>
        </w:rPr>
        <w:t xml:space="preserve">, AOS </w:t>
      </w:r>
      <w:r w:rsidR="00225535">
        <w:rPr>
          <w:rFonts w:ascii="Times New Roman" w:eastAsia="Calibri" w:hAnsi="Times New Roman" w:cs="Times New Roman"/>
          <w:b/>
          <w:lang w:eastAsia="en-US"/>
        </w:rPr>
        <w:t>18</w:t>
      </w:r>
      <w:r w:rsidRPr="00170E35">
        <w:rPr>
          <w:rFonts w:ascii="Times New Roman" w:eastAsia="Calibri" w:hAnsi="Times New Roman" w:cs="Times New Roman"/>
          <w:b/>
          <w:lang w:eastAsia="en-US"/>
        </w:rPr>
        <w:t xml:space="preserve"> DIAS DO MÊS DE </w:t>
      </w:r>
      <w:r w:rsidR="003E5A85">
        <w:rPr>
          <w:rFonts w:ascii="Times New Roman" w:eastAsia="Calibri" w:hAnsi="Times New Roman" w:cs="Times New Roman"/>
          <w:b/>
          <w:lang w:eastAsia="en-US"/>
        </w:rPr>
        <w:t>MARÇO</w:t>
      </w:r>
      <w:r w:rsidRPr="00170E35">
        <w:rPr>
          <w:rFonts w:ascii="Times New Roman" w:eastAsia="Calibri" w:hAnsi="Times New Roman" w:cs="Times New Roman"/>
          <w:b/>
          <w:lang w:eastAsia="en-US"/>
        </w:rPr>
        <w:t xml:space="preserve"> DE 201</w:t>
      </w:r>
      <w:r w:rsidR="003E5A85">
        <w:rPr>
          <w:rFonts w:ascii="Times New Roman" w:eastAsia="Calibri" w:hAnsi="Times New Roman" w:cs="Times New Roman"/>
          <w:b/>
          <w:lang w:eastAsia="en-US"/>
        </w:rPr>
        <w:t>9</w:t>
      </w:r>
      <w:r w:rsidRPr="00170E35">
        <w:rPr>
          <w:rFonts w:ascii="Times New Roman" w:eastAsia="Calibri" w:hAnsi="Times New Roman" w:cs="Times New Roman"/>
          <w:b/>
          <w:lang w:eastAsia="en-US"/>
        </w:rPr>
        <w:t>.</w:t>
      </w:r>
    </w:p>
    <w:p w:rsidR="009B7A6A" w:rsidRDefault="009B7A6A" w:rsidP="009B7A6A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B7A6A" w:rsidRDefault="009B7A6A" w:rsidP="009B7A6A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70E35" w:rsidRPr="00170E35" w:rsidRDefault="00170E35" w:rsidP="009B7A6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70E35">
        <w:rPr>
          <w:rFonts w:ascii="Times New Roman" w:eastAsia="Calibri" w:hAnsi="Times New Roman" w:cs="Times New Roman"/>
          <w:b/>
          <w:lang w:eastAsia="en-US"/>
        </w:rPr>
        <w:t>N</w:t>
      </w:r>
      <w:r w:rsidR="009B7A6A">
        <w:rPr>
          <w:rFonts w:ascii="Times New Roman" w:eastAsia="Calibri" w:hAnsi="Times New Roman" w:cs="Times New Roman"/>
          <w:b/>
          <w:lang w:eastAsia="en-US"/>
        </w:rPr>
        <w:t>EURILAN FRAGA</w:t>
      </w:r>
    </w:p>
    <w:p w:rsidR="00170E35" w:rsidRPr="00170E35" w:rsidRDefault="009B7A6A" w:rsidP="009B7A6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PRESIDENTE</w:t>
      </w:r>
      <w:r w:rsidR="00170E35" w:rsidRPr="00170E35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170E35" w:rsidRDefault="00170E35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3E5A85" w:rsidRDefault="003E5A85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3E5A85" w:rsidRDefault="003E5A85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70E35" w:rsidRPr="008A56F4" w:rsidRDefault="00170E35" w:rsidP="00170E3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ANEXO I</w:t>
      </w:r>
    </w:p>
    <w:p w:rsidR="00170E35" w:rsidRPr="008A56F4" w:rsidRDefault="00170E35" w:rsidP="00170E3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PLANILHA DE AVALIAÇÃO DE VEÍCULO</w:t>
      </w:r>
      <w:r w:rsid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S</w:t>
      </w: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PARA ALIENAÇÃO – LEILÃO:</w:t>
      </w:r>
    </w:p>
    <w:p w:rsidR="00170E35" w:rsidRPr="008A56F4" w:rsidRDefault="00170E35" w:rsidP="00170E3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(Artigos 20 e 21 do Decreto n. 21.981/32)</w:t>
      </w:r>
    </w:p>
    <w:p w:rsidR="00170E35" w:rsidRPr="008A56F4" w:rsidRDefault="009B7A6A" w:rsidP="00170E3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AMM – ASSOCIAÇÃO MATO-GROSSENSE DOS MUNICIPIOS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1-Metodologia de avaliação utilizada para o resultado apresentado: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1. Comparativo do que se vai avaliar com o valor real do bem, ou similar, disponível no mercado tradicional.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2- Na depreciação real são considerados os quesitos: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2.1. Estado físico e mecânico do bem (especialmente lataria, acabamento interno, motor, </w:t>
      </w:r>
      <w:proofErr w:type="spellStart"/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cx</w:t>
      </w:r>
      <w:proofErr w:type="spellEnd"/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câmbio </w:t>
      </w:r>
      <w:proofErr w:type="spellStart"/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etc</w:t>
      </w:r>
      <w:proofErr w:type="spellEnd"/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2.2. Fator de preços médios no mercado de revenda, com lucro do vendedor, da loja ou concessionária.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2.3. Valor das despesas acessórias como: pagamento da comissão, remoção, consertos, frete, impostos etc.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2.4. Venda sem garantia alguma e com pagamento à vista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3 – </w:t>
      </w:r>
      <w:r w:rsidRPr="008A56F4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Avaliação: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3.1. Depreciação e baixa no valor real do bem dos quesitos elencados no Item 2;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3.2. Preços médios praticados em outros leilões equivalentes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3.3. Visita e conferência “in loco” ao be</w:t>
      </w:r>
      <w:r w:rsidR="009B7A6A"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m</w:t>
      </w: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3.4. Opinião de mercado (pesquisa Internet para os itens em bom estado e com garantia mínima),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3.5. Considerada a oferta e facilidade do mercado para vendas parceladas, pagamentos, descontos.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3.6. Preços atrativos para chamada de licitantes.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3.7. A avaliação é uma expectativa de valor e não significa o preço mínimo ou lance inicial, podendo ser alterado por conta e risco do Vendedor, inclusive, por relevante interesse da administração superior.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4- </w:t>
      </w:r>
      <w:r w:rsidRPr="008A56F4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Observações: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4.1. Na presente avaliação não foram consideradas eventuais multas de trânsito, impostos incidentes, ônus, dívidas reais, etc. uma vez que a informação é de os bens estão regularizados.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4.2. Os valores de avaliação poderão sofrer a expectativa de ágio ou até deságio dos não vendidos.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4.3. Na avaliação desprezamos as frações, ficando os números inteiros.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4.</w:t>
      </w:r>
      <w:r w:rsidR="00BD45E7"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4</w:t>
      </w:r>
      <w:r w:rsidRPr="008A56F4">
        <w:rPr>
          <w:rFonts w:ascii="Times New Roman" w:eastAsia="Calibri" w:hAnsi="Times New Roman" w:cs="Times New Roman"/>
          <w:sz w:val="20"/>
          <w:szCs w:val="20"/>
          <w:lang w:eastAsia="en-US"/>
        </w:rPr>
        <w:t>. Todas as formalidades e documentos para transferência de veículos junto ao Detran compete ao Vendedor.</w:t>
      </w:r>
    </w:p>
    <w:p w:rsidR="00170E35" w:rsidRPr="008A56F4" w:rsidRDefault="00170E35" w:rsidP="00170E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8A56F4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5. Relação do Lote Disponibilizado – Sem Garantia – No estado em que se encontram: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00271D" w:rsidRPr="00170E35" w:rsidTr="0009459F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5" w:rsidRPr="008A56F4" w:rsidRDefault="000D297A" w:rsidP="00170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01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– VEICULO:</w:t>
            </w:r>
          </w:p>
          <w:p w:rsidR="00A37C48" w:rsidRPr="008A56F4" w:rsidRDefault="00170E35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01(um) 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V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eículo 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0D297A" w:rsidRPr="008A56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FIAT TORO FREDOM 4X4 DIESEL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RENAVAM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0D297A"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01088826048 </w:t>
            </w:r>
          </w:p>
          <w:p w:rsidR="00A37C48" w:rsidRPr="008A56F4" w:rsidRDefault="00755B5F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hassi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988226125HKA60715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laca 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D297A"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QBU- 4793 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MT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no  e</w:t>
            </w:r>
            <w:proofErr w:type="gramEnd"/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mod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elo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BD45E7" w:rsidRPr="008A56F4" w:rsidRDefault="000D297A" w:rsidP="000D297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</w:p>
          <w:p w:rsidR="000D297A" w:rsidRPr="000D297A" w:rsidRDefault="000D297A" w:rsidP="0000271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0027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55.500,00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(CINQUENTA E </w:t>
            </w:r>
            <w:r w:rsidR="000027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CINCO MIL E QUINHENTOS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REAIS)</w:t>
            </w:r>
          </w:p>
        </w:tc>
      </w:tr>
      <w:tr w:rsidR="0000271D" w:rsidRPr="00170E35" w:rsidTr="0009459F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5" w:rsidRPr="00170E35" w:rsidRDefault="00170E35" w:rsidP="00170E35">
            <w:pPr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</w:p>
        </w:tc>
      </w:tr>
    </w:tbl>
    <w:p w:rsidR="00170E35" w:rsidRDefault="00170E35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0D297A" w:rsidRPr="00170E35" w:rsidTr="00A83DD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02 – VEICULO: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01(um) Veículo - </w:t>
            </w:r>
            <w:r w:rsidRPr="008A56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MITSUBISHI L 200 TRITON 4X4 DIESEL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RENAVAM - </w:t>
            </w:r>
            <w:r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01055797936 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Chassi -  93XXNKB8TGCF15096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Placa – </w:t>
            </w:r>
            <w:r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QBV-5295/MT 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Ano  e</w:t>
            </w:r>
            <w:proofErr w:type="gramEnd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modelo - 2015/2016 –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</w:p>
          <w:p w:rsidR="000D297A" w:rsidRPr="008A56F4" w:rsidRDefault="000D297A" w:rsidP="000027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0027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44.250,00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  <w:r w:rsidR="000027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QUARENTA E QUATRO MIL, DUZENTOS E CINQUENTA REAIS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</w:tbl>
    <w:p w:rsidR="000D297A" w:rsidRDefault="000D297A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16ADC" w:rsidRPr="00170E35" w:rsidTr="00A83DD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01 – VEICULO: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01(um) Veículo - </w:t>
            </w:r>
            <w:r>
              <w:rPr>
                <w:b/>
                <w:color w:val="000000"/>
                <w:sz w:val="24"/>
                <w:szCs w:val="24"/>
              </w:rPr>
              <w:t>FIAT DOBLO ESSENSE 1.8 FLEX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RENAVAM - 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01082677652</w:t>
            </w:r>
            <w:r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Chassi -  </w:t>
            </w:r>
            <w:r w:rsidRPr="00D16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9BD11960SG1134595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Placa – 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QBG-1573/MT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Ano  e</w:t>
            </w:r>
            <w:proofErr w:type="gramEnd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modelo - 201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</w:p>
          <w:p w:rsidR="00D16ADC" w:rsidRPr="000D297A" w:rsidRDefault="00D16ADC" w:rsidP="0000271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0027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.000,00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VINTE E </w:t>
            </w:r>
            <w:r w:rsidR="000027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OITO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MIL REAIS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</w:tbl>
    <w:p w:rsidR="000D297A" w:rsidRDefault="000D297A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170E35" w:rsidRPr="00170E35" w:rsidRDefault="009B7A6A" w:rsidP="00170E35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Cuiabá </w:t>
      </w:r>
      <w:r w:rsidR="00170E35" w:rsidRPr="00170E35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170E35" w:rsidRPr="00170E35">
        <w:rPr>
          <w:rFonts w:ascii="Times New Roman" w:eastAsia="Calibri" w:hAnsi="Times New Roman" w:cs="Times New Roman"/>
          <w:lang w:eastAsia="en-US"/>
        </w:rPr>
        <w:t>MT, 1</w:t>
      </w:r>
      <w:r w:rsidR="00D16ADC">
        <w:rPr>
          <w:rFonts w:ascii="Times New Roman" w:eastAsia="Calibri" w:hAnsi="Times New Roman" w:cs="Times New Roman"/>
          <w:lang w:eastAsia="en-US"/>
        </w:rPr>
        <w:t>8</w:t>
      </w:r>
      <w:r w:rsidR="00170E35" w:rsidRPr="00170E35">
        <w:rPr>
          <w:rFonts w:ascii="Times New Roman" w:eastAsia="Calibri" w:hAnsi="Times New Roman" w:cs="Times New Roman"/>
          <w:lang w:eastAsia="en-US"/>
        </w:rPr>
        <w:t xml:space="preserve"> de </w:t>
      </w:r>
      <w:r>
        <w:rPr>
          <w:rFonts w:ascii="Times New Roman" w:eastAsia="Calibri" w:hAnsi="Times New Roman" w:cs="Times New Roman"/>
          <w:lang w:eastAsia="en-US"/>
        </w:rPr>
        <w:t>Ma</w:t>
      </w:r>
      <w:r w:rsidR="00D16ADC">
        <w:rPr>
          <w:rFonts w:ascii="Times New Roman" w:eastAsia="Calibri" w:hAnsi="Times New Roman" w:cs="Times New Roman"/>
          <w:lang w:eastAsia="en-US"/>
        </w:rPr>
        <w:t>rço</w:t>
      </w:r>
      <w:r w:rsidR="00170E35" w:rsidRPr="00170E35">
        <w:rPr>
          <w:rFonts w:ascii="Times New Roman" w:eastAsia="Calibri" w:hAnsi="Times New Roman" w:cs="Times New Roman"/>
          <w:lang w:eastAsia="en-US"/>
        </w:rPr>
        <w:t xml:space="preserve">  de 201</w:t>
      </w:r>
      <w:r w:rsidR="00D16ADC">
        <w:rPr>
          <w:rFonts w:ascii="Times New Roman" w:eastAsia="Calibri" w:hAnsi="Times New Roman" w:cs="Times New Roman"/>
          <w:lang w:eastAsia="en-US"/>
        </w:rPr>
        <w:t>8</w:t>
      </w:r>
      <w:r w:rsidR="00170E35" w:rsidRPr="00170E35">
        <w:rPr>
          <w:rFonts w:ascii="Times New Roman" w:eastAsia="Calibri" w:hAnsi="Times New Roman" w:cs="Times New Roman"/>
          <w:lang w:eastAsia="en-US"/>
        </w:rPr>
        <w:t>.</w:t>
      </w:r>
    </w:p>
    <w:p w:rsidR="005F6EC6" w:rsidRDefault="005F6EC6" w:rsidP="005F6EC6">
      <w:pPr>
        <w:spacing w:after="0" w:line="240" w:lineRule="auto"/>
        <w:ind w:right="-142"/>
        <w:jc w:val="both"/>
        <w:rPr>
          <w:rFonts w:ascii="Verdana" w:eastAsia="Times New Roman" w:hAnsi="Verdana" w:cs="Arial"/>
          <w:b/>
          <w:sz w:val="24"/>
          <w:szCs w:val="24"/>
        </w:rPr>
      </w:pPr>
    </w:p>
    <w:p w:rsidR="00A37C48" w:rsidRPr="005F6EC6" w:rsidRDefault="00A37C48" w:rsidP="005F6EC6">
      <w:pPr>
        <w:spacing w:after="0" w:line="240" w:lineRule="auto"/>
        <w:ind w:right="-142"/>
        <w:jc w:val="both"/>
        <w:rPr>
          <w:rFonts w:ascii="Verdana" w:eastAsia="Times New Roman" w:hAnsi="Verdana" w:cs="Arial"/>
          <w:b/>
          <w:sz w:val="24"/>
          <w:szCs w:val="24"/>
        </w:rPr>
      </w:pPr>
    </w:p>
    <w:p w:rsidR="005F6EC6" w:rsidRPr="005F6EC6" w:rsidRDefault="005F6EC6" w:rsidP="005F6EC6">
      <w:pPr>
        <w:spacing w:after="0" w:line="240" w:lineRule="auto"/>
        <w:ind w:right="-142"/>
        <w:jc w:val="center"/>
        <w:rPr>
          <w:rFonts w:ascii="Verdana" w:eastAsia="Times New Roman" w:hAnsi="Verdana" w:cs="Arial"/>
          <w:sz w:val="24"/>
          <w:szCs w:val="24"/>
        </w:rPr>
      </w:pPr>
      <w:r w:rsidRPr="005F6EC6">
        <w:rPr>
          <w:rFonts w:ascii="Verdana" w:eastAsia="Times New Roman" w:hAnsi="Verdana" w:cs="Arial"/>
          <w:sz w:val="24"/>
          <w:szCs w:val="24"/>
        </w:rPr>
        <w:t>__________________</w:t>
      </w:r>
    </w:p>
    <w:p w:rsidR="005F6EC6" w:rsidRPr="005F6EC6" w:rsidRDefault="005F6EC6" w:rsidP="005F6EC6">
      <w:pPr>
        <w:spacing w:after="0" w:line="240" w:lineRule="auto"/>
        <w:ind w:right="-142"/>
        <w:jc w:val="center"/>
        <w:rPr>
          <w:rFonts w:ascii="Verdana" w:eastAsia="Times New Roman" w:hAnsi="Verdana" w:cs="Arial"/>
          <w:b/>
          <w:sz w:val="24"/>
          <w:szCs w:val="24"/>
        </w:rPr>
      </w:pPr>
      <w:r w:rsidRPr="005F6EC6">
        <w:rPr>
          <w:rFonts w:ascii="Verdana" w:eastAsia="Times New Roman" w:hAnsi="Verdana" w:cs="Arial"/>
          <w:b/>
          <w:sz w:val="24"/>
          <w:szCs w:val="24"/>
        </w:rPr>
        <w:t>NEURILAN FRAGA</w:t>
      </w:r>
    </w:p>
    <w:p w:rsidR="001C25BF" w:rsidRPr="005F6EC6" w:rsidRDefault="005F6EC6" w:rsidP="00A37C48">
      <w:pPr>
        <w:spacing w:after="0" w:line="240" w:lineRule="auto"/>
        <w:ind w:right="-142"/>
        <w:jc w:val="center"/>
      </w:pPr>
      <w:r w:rsidRPr="005F6EC6">
        <w:rPr>
          <w:rFonts w:ascii="Verdana" w:eastAsia="Times New Roman" w:hAnsi="Verdana" w:cs="Arial"/>
          <w:sz w:val="24"/>
          <w:szCs w:val="24"/>
        </w:rPr>
        <w:t>Presidente</w:t>
      </w:r>
      <w:permEnd w:id="694357737"/>
    </w:p>
    <w:sectPr w:rsidR="001C25BF" w:rsidRPr="005F6EC6" w:rsidSect="00CF4BE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C1" w:rsidRDefault="007E71C1" w:rsidP="005560CB">
      <w:pPr>
        <w:spacing w:after="0" w:line="240" w:lineRule="auto"/>
      </w:pPr>
      <w:r>
        <w:separator/>
      </w:r>
    </w:p>
  </w:endnote>
  <w:endnote w:type="continuationSeparator" w:id="0">
    <w:p w:rsidR="007E71C1" w:rsidRDefault="007E71C1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4E3A8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1B1CE89E" wp14:editId="3F14B889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4E3A89" w:rsidRDefault="004E3A8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4E3A89" w:rsidRPr="009918C3" w:rsidRDefault="004E3A8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C1" w:rsidRDefault="007E71C1" w:rsidP="005560CB">
      <w:pPr>
        <w:spacing w:after="0" w:line="240" w:lineRule="auto"/>
      </w:pPr>
      <w:r>
        <w:separator/>
      </w:r>
    </w:p>
  </w:footnote>
  <w:footnote w:type="continuationSeparator" w:id="0">
    <w:p w:rsidR="007E71C1" w:rsidRDefault="007E71C1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9428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4E3A89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A010589" wp14:editId="343E0FC5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FC3FB" wp14:editId="483E5A59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A89" w:rsidRPr="00CC4890" w:rsidRDefault="004E3A8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4E3A89" w:rsidRPr="00CC4890" w:rsidRDefault="009428D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4E3A8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4E3A8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4E3A8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FC3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4E3A89" w:rsidRPr="00CC4890" w:rsidRDefault="004E3A8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4E3A89" w:rsidRPr="00CC4890" w:rsidRDefault="009428D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4E3A8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4E3A8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4E3A8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4E3A89" w:rsidRDefault="004E3A89" w:rsidP="00DD7DC6">
    <w:pPr>
      <w:pStyle w:val="Cabealho"/>
      <w:jc w:val="center"/>
    </w:pPr>
  </w:p>
  <w:p w:rsidR="004E3A89" w:rsidRDefault="004E3A89" w:rsidP="00DD7DC6">
    <w:pPr>
      <w:pStyle w:val="Cabealho"/>
      <w:jc w:val="center"/>
    </w:pPr>
  </w:p>
  <w:p w:rsidR="004E3A89" w:rsidRPr="009918C3" w:rsidRDefault="004E3A89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9428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288"/>
    <w:multiLevelType w:val="multilevel"/>
    <w:tmpl w:val="F6A228A6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0271D"/>
    <w:rsid w:val="00012B75"/>
    <w:rsid w:val="00040802"/>
    <w:rsid w:val="00054DE9"/>
    <w:rsid w:val="000D297A"/>
    <w:rsid w:val="001422E4"/>
    <w:rsid w:val="0016166E"/>
    <w:rsid w:val="00170E35"/>
    <w:rsid w:val="00171AC2"/>
    <w:rsid w:val="001860CF"/>
    <w:rsid w:val="001B26EC"/>
    <w:rsid w:val="001C25BF"/>
    <w:rsid w:val="001F3BFD"/>
    <w:rsid w:val="00225535"/>
    <w:rsid w:val="00262B39"/>
    <w:rsid w:val="00284CBE"/>
    <w:rsid w:val="00291D6A"/>
    <w:rsid w:val="0032340C"/>
    <w:rsid w:val="00337926"/>
    <w:rsid w:val="0034697E"/>
    <w:rsid w:val="00353E02"/>
    <w:rsid w:val="00355034"/>
    <w:rsid w:val="00390AE0"/>
    <w:rsid w:val="00393E99"/>
    <w:rsid w:val="003D0DA6"/>
    <w:rsid w:val="003D7003"/>
    <w:rsid w:val="003E5A85"/>
    <w:rsid w:val="004029F5"/>
    <w:rsid w:val="004259C4"/>
    <w:rsid w:val="004331FC"/>
    <w:rsid w:val="004A4D09"/>
    <w:rsid w:val="004C0E4F"/>
    <w:rsid w:val="004E3A89"/>
    <w:rsid w:val="005142AD"/>
    <w:rsid w:val="0052687D"/>
    <w:rsid w:val="005560CB"/>
    <w:rsid w:val="00592CE1"/>
    <w:rsid w:val="005D23B6"/>
    <w:rsid w:val="005F6EC6"/>
    <w:rsid w:val="006028A3"/>
    <w:rsid w:val="00655932"/>
    <w:rsid w:val="006D2D62"/>
    <w:rsid w:val="006D674F"/>
    <w:rsid w:val="006E2B15"/>
    <w:rsid w:val="006E7D97"/>
    <w:rsid w:val="00701E8E"/>
    <w:rsid w:val="00724DC0"/>
    <w:rsid w:val="00755B5F"/>
    <w:rsid w:val="00756E57"/>
    <w:rsid w:val="00785621"/>
    <w:rsid w:val="007D0BD2"/>
    <w:rsid w:val="007D3C6D"/>
    <w:rsid w:val="007E5C0A"/>
    <w:rsid w:val="007E71C1"/>
    <w:rsid w:val="00833E65"/>
    <w:rsid w:val="00851253"/>
    <w:rsid w:val="0085659B"/>
    <w:rsid w:val="00874235"/>
    <w:rsid w:val="00876ACF"/>
    <w:rsid w:val="008A3785"/>
    <w:rsid w:val="008A56F4"/>
    <w:rsid w:val="008D63E5"/>
    <w:rsid w:val="008E2A92"/>
    <w:rsid w:val="00930061"/>
    <w:rsid w:val="009428DE"/>
    <w:rsid w:val="009466DD"/>
    <w:rsid w:val="00967566"/>
    <w:rsid w:val="009918C3"/>
    <w:rsid w:val="009B7A6A"/>
    <w:rsid w:val="009C18D4"/>
    <w:rsid w:val="009C3E78"/>
    <w:rsid w:val="009E406E"/>
    <w:rsid w:val="00A32E04"/>
    <w:rsid w:val="00A37C48"/>
    <w:rsid w:val="00AD384F"/>
    <w:rsid w:val="00AD7603"/>
    <w:rsid w:val="00B206D4"/>
    <w:rsid w:val="00B450F1"/>
    <w:rsid w:val="00B60289"/>
    <w:rsid w:val="00BD45E7"/>
    <w:rsid w:val="00BF0129"/>
    <w:rsid w:val="00BF3DCA"/>
    <w:rsid w:val="00C9601E"/>
    <w:rsid w:val="00CC4890"/>
    <w:rsid w:val="00CC7B54"/>
    <w:rsid w:val="00CF4BE9"/>
    <w:rsid w:val="00D16ADC"/>
    <w:rsid w:val="00D23910"/>
    <w:rsid w:val="00D368F2"/>
    <w:rsid w:val="00D47505"/>
    <w:rsid w:val="00D64C3F"/>
    <w:rsid w:val="00D9384F"/>
    <w:rsid w:val="00DB3405"/>
    <w:rsid w:val="00DC00B4"/>
    <w:rsid w:val="00DC0DB9"/>
    <w:rsid w:val="00DD7DC6"/>
    <w:rsid w:val="00DF4BDA"/>
    <w:rsid w:val="00E25E6C"/>
    <w:rsid w:val="00E35994"/>
    <w:rsid w:val="00E45DF1"/>
    <w:rsid w:val="00E63A6A"/>
    <w:rsid w:val="00E70CCE"/>
    <w:rsid w:val="00E74A55"/>
    <w:rsid w:val="00EA0A85"/>
    <w:rsid w:val="00ED2B8F"/>
    <w:rsid w:val="00F04655"/>
    <w:rsid w:val="00F24E65"/>
    <w:rsid w:val="00F328BC"/>
    <w:rsid w:val="00F378E7"/>
    <w:rsid w:val="00F37DAA"/>
    <w:rsid w:val="00F4261A"/>
    <w:rsid w:val="00F53249"/>
    <w:rsid w:val="00F6338B"/>
    <w:rsid w:val="00F66BF8"/>
    <w:rsid w:val="00FA2478"/>
    <w:rsid w:val="00FA31FD"/>
    <w:rsid w:val="00FB5E31"/>
    <w:rsid w:val="00FD307E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36816A4"/>
  <w15:docId w15:val="{760D9A6D-1F8B-4719-9343-C45197BE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table" w:styleId="Tabelacomgrade">
    <w:name w:val="Table Grid"/>
    <w:basedOn w:val="Tabelanormal"/>
    <w:uiPriority w:val="59"/>
    <w:rsid w:val="00170E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7E9AE-CA62-4924-8791-E3FD995C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1660</Words>
  <Characters>8965</Characters>
  <Application>Microsoft Office Word</Application>
  <DocSecurity>8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13</cp:revision>
  <cp:lastPrinted>2019-03-19T21:13:00Z</cp:lastPrinted>
  <dcterms:created xsi:type="dcterms:W3CDTF">2016-05-10T15:03:00Z</dcterms:created>
  <dcterms:modified xsi:type="dcterms:W3CDTF">2019-03-19T21:16:00Z</dcterms:modified>
</cp:coreProperties>
</file>